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E67FB" w14:textId="7E1DBD77" w:rsidR="00846BFC" w:rsidRDefault="00846BFC" w:rsidP="00D70042">
      <w:pPr>
        <w:rPr>
          <w:b/>
        </w:rPr>
      </w:pPr>
    </w:p>
    <w:p w14:paraId="56F7D9DB" w14:textId="1C1647DF" w:rsidR="00846BFC" w:rsidRDefault="00846BFC" w:rsidP="00D70042">
      <w:pPr>
        <w:rPr>
          <w:b/>
        </w:rPr>
      </w:pPr>
    </w:p>
    <w:p w14:paraId="7D6D7FF2" w14:textId="5E3224C8" w:rsidR="00846BFC" w:rsidRDefault="00846BFC" w:rsidP="00D70042">
      <w:pPr>
        <w:rPr>
          <w:b/>
        </w:rPr>
      </w:pPr>
    </w:p>
    <w:p w14:paraId="6CD25B80" w14:textId="77777777" w:rsidR="00846BFC" w:rsidRDefault="00846BFC" w:rsidP="00D70042">
      <w:pPr>
        <w:rPr>
          <w:b/>
        </w:rPr>
      </w:pPr>
    </w:p>
    <w:p w14:paraId="5D0D2F9D" w14:textId="74A9B425" w:rsidR="00D4409F" w:rsidRPr="0090051E" w:rsidRDefault="00C36864" w:rsidP="002A70AD">
      <w:pPr>
        <w:jc w:val="center"/>
        <w:rPr>
          <w:b/>
        </w:rPr>
      </w:pPr>
      <w:r w:rsidRPr="0090051E">
        <w:rPr>
          <w:b/>
          <w:noProof/>
        </w:rPr>
        <w:drawing>
          <wp:anchor distT="0" distB="0" distL="114300" distR="114300" simplePos="0" relativeHeight="251658240" behindDoc="0" locked="0" layoutInCell="1" allowOverlap="1" wp14:anchorId="2D70E9E0" wp14:editId="5104C122">
            <wp:simplePos x="0" y="0"/>
            <wp:positionH relativeFrom="margin">
              <wp:align>center</wp:align>
            </wp:positionH>
            <wp:positionV relativeFrom="paragraph">
              <wp:posOffset>635</wp:posOffset>
            </wp:positionV>
            <wp:extent cx="6293801" cy="838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8">
                      <a:extLst>
                        <a:ext uri="{28A0092B-C50C-407E-A947-70E740481C1C}">
                          <a14:useLocalDpi xmlns:a14="http://schemas.microsoft.com/office/drawing/2010/main" val="0"/>
                        </a:ext>
                      </a:extLst>
                    </a:blip>
                    <a:srcRect l="1710" r="6197"/>
                    <a:stretch/>
                  </pic:blipFill>
                  <pic:spPr bwMode="auto">
                    <a:xfrm>
                      <a:off x="0" y="0"/>
                      <a:ext cx="6293801"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E88C73" w14:textId="77777777" w:rsidR="00D4409F" w:rsidRPr="0090051E" w:rsidRDefault="00D4409F" w:rsidP="00D70042">
      <w:pPr>
        <w:rPr>
          <w:b/>
        </w:rPr>
      </w:pPr>
    </w:p>
    <w:p w14:paraId="7C5C3F68" w14:textId="77777777" w:rsidR="002A70AD" w:rsidRPr="0090051E" w:rsidRDefault="002A70AD" w:rsidP="00406311">
      <w:pPr>
        <w:spacing w:after="0"/>
        <w:jc w:val="center"/>
        <w:rPr>
          <w:rFonts w:asciiTheme="majorHAnsi" w:hAnsiTheme="majorHAnsi"/>
          <w:b/>
          <w:color w:val="C00000"/>
          <w:sz w:val="40"/>
        </w:rPr>
      </w:pPr>
    </w:p>
    <w:p w14:paraId="72A8ED08" w14:textId="77777777" w:rsidR="002A70AD" w:rsidRPr="0090051E" w:rsidRDefault="002A70AD" w:rsidP="00406311">
      <w:pPr>
        <w:spacing w:after="0"/>
        <w:jc w:val="center"/>
        <w:rPr>
          <w:rFonts w:asciiTheme="majorHAnsi" w:hAnsiTheme="majorHAnsi"/>
          <w:b/>
          <w:color w:val="C00000"/>
          <w:sz w:val="40"/>
        </w:rPr>
      </w:pPr>
    </w:p>
    <w:p w14:paraId="1B2762C4" w14:textId="77777777" w:rsidR="002A70AD" w:rsidRPr="0090051E" w:rsidRDefault="002A70AD" w:rsidP="00406311">
      <w:pPr>
        <w:spacing w:after="0"/>
        <w:jc w:val="center"/>
        <w:rPr>
          <w:rFonts w:asciiTheme="majorHAnsi" w:hAnsiTheme="majorHAnsi"/>
          <w:b/>
          <w:color w:val="C00000"/>
          <w:sz w:val="40"/>
        </w:rPr>
      </w:pPr>
    </w:p>
    <w:p w14:paraId="4D3B93E3" w14:textId="559A4A76" w:rsidR="00846BFC" w:rsidRPr="0090051E" w:rsidRDefault="004E6B5B" w:rsidP="00406311">
      <w:pPr>
        <w:spacing w:after="0"/>
        <w:jc w:val="center"/>
        <w:rPr>
          <w:rFonts w:asciiTheme="majorHAnsi" w:hAnsiTheme="majorHAnsi"/>
          <w:b/>
          <w:color w:val="C00000"/>
          <w:sz w:val="40"/>
        </w:rPr>
      </w:pPr>
      <w:r w:rsidRPr="0090051E">
        <w:rPr>
          <w:rFonts w:asciiTheme="majorHAnsi" w:hAnsiTheme="majorHAnsi"/>
          <w:b/>
          <w:color w:val="C00000"/>
          <w:sz w:val="40"/>
        </w:rPr>
        <w:t xml:space="preserve">MIT </w:t>
      </w:r>
      <w:r w:rsidR="00E64382" w:rsidRPr="0090051E">
        <w:rPr>
          <w:rFonts w:asciiTheme="majorHAnsi" w:hAnsiTheme="majorHAnsi"/>
          <w:b/>
          <w:color w:val="C00000"/>
          <w:sz w:val="40"/>
        </w:rPr>
        <w:t xml:space="preserve">Student </w:t>
      </w:r>
      <w:r w:rsidR="00771FD9" w:rsidRPr="0090051E">
        <w:rPr>
          <w:rFonts w:asciiTheme="majorHAnsi" w:hAnsiTheme="majorHAnsi"/>
          <w:b/>
          <w:color w:val="C00000"/>
          <w:sz w:val="40"/>
        </w:rPr>
        <w:t xml:space="preserve">Health </w:t>
      </w:r>
      <w:r w:rsidR="00846BFC" w:rsidRPr="0090051E">
        <w:rPr>
          <w:rFonts w:asciiTheme="majorHAnsi" w:hAnsiTheme="majorHAnsi"/>
          <w:b/>
          <w:color w:val="C00000"/>
          <w:sz w:val="40"/>
        </w:rPr>
        <w:t xml:space="preserve">Insurance </w:t>
      </w:r>
      <w:r w:rsidR="00E64382" w:rsidRPr="0090051E">
        <w:rPr>
          <w:rFonts w:asciiTheme="majorHAnsi" w:hAnsiTheme="majorHAnsi"/>
          <w:b/>
          <w:color w:val="C00000"/>
          <w:sz w:val="40"/>
        </w:rPr>
        <w:t xml:space="preserve">Plan </w:t>
      </w:r>
      <w:r w:rsidR="00846BFC" w:rsidRPr="0090051E">
        <w:rPr>
          <w:rFonts w:asciiTheme="majorHAnsi" w:hAnsiTheme="majorHAnsi"/>
          <w:b/>
          <w:color w:val="C00000"/>
          <w:sz w:val="40"/>
        </w:rPr>
        <w:t>Policies</w:t>
      </w:r>
    </w:p>
    <w:p w14:paraId="01A5417D" w14:textId="77777777" w:rsidR="00D634F5" w:rsidRPr="0090051E" w:rsidRDefault="00D634F5" w:rsidP="00D70042">
      <w:pPr>
        <w:rPr>
          <w:b/>
        </w:rPr>
      </w:pPr>
    </w:p>
    <w:p w14:paraId="3BCDF99B" w14:textId="77777777" w:rsidR="00D634F5" w:rsidRPr="0090051E" w:rsidRDefault="00D634F5" w:rsidP="00D70042">
      <w:pPr>
        <w:rPr>
          <w:b/>
        </w:rPr>
      </w:pPr>
    </w:p>
    <w:p w14:paraId="67ED74B1" w14:textId="77777777" w:rsidR="00F93EB8" w:rsidRPr="0090051E" w:rsidRDefault="00F93EB8" w:rsidP="00D70042">
      <w:pPr>
        <w:rPr>
          <w:rFonts w:asciiTheme="majorHAnsi" w:eastAsiaTheme="majorEastAsia" w:hAnsiTheme="majorHAnsi" w:cstheme="majorBidi"/>
          <w:color w:val="C00000"/>
          <w:sz w:val="32"/>
          <w:szCs w:val="32"/>
        </w:rPr>
        <w:sectPr w:rsidR="00F93EB8" w:rsidRPr="0090051E" w:rsidSect="00BA68BD">
          <w:pgSz w:w="12240" w:h="15840"/>
          <w:pgMar w:top="1440" w:right="1440" w:bottom="1440" w:left="1440" w:header="720" w:footer="720" w:gutter="0"/>
          <w:cols w:space="720"/>
          <w:docGrid w:linePitch="360"/>
        </w:sectPr>
      </w:pPr>
    </w:p>
    <w:p w14:paraId="1BA29740" w14:textId="77777777" w:rsidR="00D83FB5" w:rsidRPr="0090051E" w:rsidRDefault="00F93EB8" w:rsidP="00D70042">
      <w:pPr>
        <w:rPr>
          <w:rFonts w:asciiTheme="majorHAnsi" w:eastAsiaTheme="majorEastAsia" w:hAnsiTheme="majorHAnsi" w:cstheme="majorBidi"/>
          <w:color w:val="C00000"/>
          <w:sz w:val="32"/>
          <w:szCs w:val="32"/>
        </w:rPr>
      </w:pPr>
      <w:r w:rsidRPr="0090051E">
        <w:rPr>
          <w:rFonts w:asciiTheme="majorHAnsi" w:eastAsiaTheme="majorEastAsia" w:hAnsiTheme="majorHAnsi" w:cstheme="majorBidi"/>
          <w:color w:val="C00000"/>
          <w:sz w:val="32"/>
          <w:szCs w:val="32"/>
        </w:rPr>
        <w:lastRenderedPageBreak/>
        <w:t>Version Information</w:t>
      </w:r>
    </w:p>
    <w:tbl>
      <w:tblPr>
        <w:tblStyle w:val="PlainTable1"/>
        <w:tblW w:w="5000" w:type="pct"/>
        <w:tblCellMar>
          <w:top w:w="43" w:type="dxa"/>
          <w:left w:w="115" w:type="dxa"/>
          <w:bottom w:w="43" w:type="dxa"/>
          <w:right w:w="115" w:type="dxa"/>
        </w:tblCellMar>
        <w:tblLook w:val="0400" w:firstRow="0" w:lastRow="0" w:firstColumn="0" w:lastColumn="0" w:noHBand="0" w:noVBand="1"/>
      </w:tblPr>
      <w:tblGrid>
        <w:gridCol w:w="2784"/>
        <w:gridCol w:w="6566"/>
      </w:tblGrid>
      <w:tr w:rsidR="000E1EC0" w:rsidRPr="0090051E" w14:paraId="7F73BD54" w14:textId="77777777" w:rsidTr="0031524C">
        <w:trPr>
          <w:cnfStyle w:val="000000100000" w:firstRow="0" w:lastRow="0" w:firstColumn="0" w:lastColumn="0" w:oddVBand="0" w:evenVBand="0" w:oddHBand="1" w:evenHBand="0" w:firstRowFirstColumn="0" w:firstRowLastColumn="0" w:lastRowFirstColumn="0" w:lastRowLastColumn="0"/>
        </w:trPr>
        <w:tc>
          <w:tcPr>
            <w:tcW w:w="1489" w:type="pct"/>
          </w:tcPr>
          <w:p w14:paraId="7A1D946F" w14:textId="6DF114C1" w:rsidR="000E1EC0" w:rsidRPr="0090051E" w:rsidRDefault="000E1EC0" w:rsidP="00D70042">
            <w:pPr>
              <w:rPr>
                <w:rFonts w:asciiTheme="majorHAnsi" w:hAnsiTheme="majorHAnsi"/>
                <w:color w:val="C00000"/>
              </w:rPr>
            </w:pPr>
            <w:r w:rsidRPr="0090051E">
              <w:rPr>
                <w:rFonts w:asciiTheme="majorHAnsi" w:hAnsiTheme="majorHAnsi"/>
                <w:color w:val="C00000"/>
              </w:rPr>
              <w:t>Version</w:t>
            </w:r>
            <w:r w:rsidR="00DD4FF1" w:rsidRPr="0090051E">
              <w:rPr>
                <w:rFonts w:asciiTheme="majorHAnsi" w:hAnsiTheme="majorHAnsi"/>
                <w:color w:val="C00000"/>
              </w:rPr>
              <w:t>:</w:t>
            </w:r>
          </w:p>
        </w:tc>
        <w:tc>
          <w:tcPr>
            <w:tcW w:w="3511" w:type="pct"/>
          </w:tcPr>
          <w:p w14:paraId="5BD46D58" w14:textId="39ACEB90" w:rsidR="000E1EC0" w:rsidRPr="0090051E" w:rsidRDefault="000E1EC0" w:rsidP="00D70042">
            <w:pPr>
              <w:rPr>
                <w:rFonts w:asciiTheme="majorHAnsi" w:hAnsiTheme="majorHAnsi"/>
              </w:rPr>
            </w:pPr>
            <w:r w:rsidRPr="0090051E">
              <w:rPr>
                <w:rFonts w:asciiTheme="majorHAnsi" w:hAnsiTheme="majorHAnsi"/>
              </w:rPr>
              <w:t>202</w:t>
            </w:r>
            <w:r w:rsidR="00CB03CB">
              <w:rPr>
                <w:rFonts w:asciiTheme="majorHAnsi" w:hAnsiTheme="majorHAnsi"/>
              </w:rPr>
              <w:t>6</w:t>
            </w:r>
            <w:r w:rsidRPr="0090051E">
              <w:rPr>
                <w:rFonts w:asciiTheme="majorHAnsi" w:hAnsiTheme="majorHAnsi"/>
              </w:rPr>
              <w:t>-</w:t>
            </w:r>
            <w:r w:rsidR="00D15F93">
              <w:rPr>
                <w:rFonts w:asciiTheme="majorHAnsi" w:hAnsiTheme="majorHAnsi"/>
              </w:rPr>
              <w:t>2</w:t>
            </w:r>
          </w:p>
        </w:tc>
      </w:tr>
      <w:tr w:rsidR="00D83FB5" w:rsidRPr="0090051E" w14:paraId="3A45D402" w14:textId="77777777" w:rsidTr="0031524C">
        <w:tc>
          <w:tcPr>
            <w:tcW w:w="1489" w:type="pct"/>
          </w:tcPr>
          <w:p w14:paraId="479129C6" w14:textId="77777777" w:rsidR="00D83FB5" w:rsidRPr="0090051E" w:rsidRDefault="00D83FB5" w:rsidP="00D70042">
            <w:pPr>
              <w:rPr>
                <w:rFonts w:asciiTheme="majorHAnsi" w:hAnsiTheme="majorHAnsi"/>
                <w:color w:val="C00000"/>
              </w:rPr>
            </w:pPr>
            <w:r w:rsidRPr="0090051E">
              <w:rPr>
                <w:rFonts w:asciiTheme="majorHAnsi" w:hAnsiTheme="majorHAnsi"/>
                <w:color w:val="C00000"/>
              </w:rPr>
              <w:t>Effective Date</w:t>
            </w:r>
            <w:r w:rsidR="00F93EB8" w:rsidRPr="0090051E">
              <w:rPr>
                <w:rFonts w:asciiTheme="majorHAnsi" w:hAnsiTheme="majorHAnsi"/>
                <w:color w:val="C00000"/>
              </w:rPr>
              <w:t>:</w:t>
            </w:r>
          </w:p>
        </w:tc>
        <w:tc>
          <w:tcPr>
            <w:tcW w:w="3511" w:type="pct"/>
          </w:tcPr>
          <w:p w14:paraId="26FC5B43" w14:textId="5B76B3F7" w:rsidR="00D83FB5" w:rsidRPr="0090051E" w:rsidRDefault="00D15F93" w:rsidP="00D70042">
            <w:pPr>
              <w:rPr>
                <w:rFonts w:asciiTheme="majorHAnsi" w:hAnsiTheme="majorHAnsi"/>
              </w:rPr>
            </w:pPr>
            <w:r>
              <w:rPr>
                <w:rFonts w:asciiTheme="majorHAnsi" w:hAnsiTheme="majorHAnsi"/>
              </w:rPr>
              <w:t>Ju</w:t>
            </w:r>
            <w:r w:rsidR="00BB1CE6">
              <w:rPr>
                <w:rFonts w:asciiTheme="majorHAnsi" w:hAnsiTheme="majorHAnsi"/>
              </w:rPr>
              <w:t>ly</w:t>
            </w:r>
            <w:r>
              <w:rPr>
                <w:rFonts w:asciiTheme="majorHAnsi" w:hAnsiTheme="majorHAnsi"/>
              </w:rPr>
              <w:t xml:space="preserve"> </w:t>
            </w:r>
            <w:r w:rsidR="00BB1CE6">
              <w:rPr>
                <w:rFonts w:asciiTheme="majorHAnsi" w:hAnsiTheme="majorHAnsi"/>
              </w:rPr>
              <w:t>01</w:t>
            </w:r>
            <w:r w:rsidR="006B1D38" w:rsidRPr="0090051E">
              <w:rPr>
                <w:rFonts w:asciiTheme="majorHAnsi" w:hAnsiTheme="majorHAnsi"/>
              </w:rPr>
              <w:t>, 202</w:t>
            </w:r>
            <w:r w:rsidR="00CB03CB">
              <w:rPr>
                <w:rFonts w:asciiTheme="majorHAnsi" w:hAnsiTheme="majorHAnsi"/>
              </w:rPr>
              <w:t>6</w:t>
            </w:r>
          </w:p>
        </w:tc>
      </w:tr>
      <w:tr w:rsidR="00D83FB5" w:rsidRPr="0090051E" w14:paraId="5A6E9725" w14:textId="77777777" w:rsidTr="0031524C">
        <w:trPr>
          <w:cnfStyle w:val="000000100000" w:firstRow="0" w:lastRow="0" w:firstColumn="0" w:lastColumn="0" w:oddVBand="0" w:evenVBand="0" w:oddHBand="1" w:evenHBand="0" w:firstRowFirstColumn="0" w:firstRowLastColumn="0" w:lastRowFirstColumn="0" w:lastRowLastColumn="0"/>
        </w:trPr>
        <w:tc>
          <w:tcPr>
            <w:tcW w:w="1489" w:type="pct"/>
          </w:tcPr>
          <w:p w14:paraId="23E3332F" w14:textId="77777777" w:rsidR="00D83FB5" w:rsidRPr="0090051E" w:rsidRDefault="00D83FB5" w:rsidP="00D70042">
            <w:pPr>
              <w:rPr>
                <w:rFonts w:asciiTheme="majorHAnsi" w:hAnsiTheme="majorHAnsi"/>
                <w:color w:val="C00000"/>
              </w:rPr>
            </w:pPr>
            <w:r w:rsidRPr="0090051E">
              <w:rPr>
                <w:rFonts w:asciiTheme="majorHAnsi" w:hAnsiTheme="majorHAnsi"/>
                <w:color w:val="C00000"/>
              </w:rPr>
              <w:t>Approved by:</w:t>
            </w:r>
          </w:p>
        </w:tc>
        <w:tc>
          <w:tcPr>
            <w:tcW w:w="3511" w:type="pct"/>
          </w:tcPr>
          <w:p w14:paraId="5E2F5F79" w14:textId="70980380" w:rsidR="00D83FB5" w:rsidRPr="0090051E" w:rsidRDefault="00FB68A1" w:rsidP="00D70042">
            <w:pPr>
              <w:rPr>
                <w:rFonts w:asciiTheme="majorHAnsi" w:hAnsiTheme="majorHAnsi"/>
              </w:rPr>
            </w:pPr>
            <w:r w:rsidRPr="0090051E">
              <w:rPr>
                <w:rFonts w:asciiTheme="majorHAnsi" w:hAnsiTheme="majorHAnsi"/>
              </w:rPr>
              <w:t>Brian Schuetz, Executive Director</w:t>
            </w:r>
          </w:p>
        </w:tc>
      </w:tr>
    </w:tbl>
    <w:p w14:paraId="5FA95FC0" w14:textId="77777777" w:rsidR="00D83FB5" w:rsidRPr="0090051E" w:rsidRDefault="00D83FB5" w:rsidP="00D70042">
      <w:pPr>
        <w:rPr>
          <w:b/>
        </w:rPr>
      </w:pPr>
    </w:p>
    <w:p w14:paraId="7FCB2582" w14:textId="77777777" w:rsidR="00D83FB5" w:rsidRPr="0090051E" w:rsidRDefault="00D83FB5" w:rsidP="00D70042">
      <w:pPr>
        <w:rPr>
          <w:b/>
        </w:rPr>
      </w:pPr>
    </w:p>
    <w:p w14:paraId="2F6AE77C" w14:textId="77777777" w:rsidR="00D634F5" w:rsidRPr="0090051E" w:rsidRDefault="00D634F5" w:rsidP="00D70042">
      <w:pPr>
        <w:rPr>
          <w:b/>
        </w:rPr>
        <w:sectPr w:rsidR="00D634F5" w:rsidRPr="0090051E" w:rsidSect="00BA68BD">
          <w:pgSz w:w="12240" w:h="15840"/>
          <w:pgMar w:top="1440" w:right="1440" w:bottom="1440" w:left="1440" w:header="720" w:footer="720" w:gutter="0"/>
          <w:cols w:space="720"/>
          <w:docGrid w:linePitch="360"/>
        </w:sectPr>
      </w:pPr>
    </w:p>
    <w:sdt>
      <w:sdtPr>
        <w:rPr>
          <w:rFonts w:asciiTheme="minorHAnsi" w:eastAsiaTheme="minorHAnsi" w:hAnsiTheme="minorHAnsi" w:cstheme="minorBidi"/>
          <w:vanish/>
          <w:color w:val="auto"/>
          <w:sz w:val="22"/>
          <w:szCs w:val="22"/>
        </w:rPr>
        <w:id w:val="1797637604"/>
        <w:docPartObj>
          <w:docPartGallery w:val="Table of Contents"/>
          <w:docPartUnique/>
        </w:docPartObj>
      </w:sdtPr>
      <w:sdtEndPr>
        <w:rPr>
          <w:b/>
          <w:bCs/>
          <w:noProof/>
        </w:rPr>
      </w:sdtEndPr>
      <w:sdtContent>
        <w:p w14:paraId="333F523F" w14:textId="77777777" w:rsidR="00053AAE" w:rsidRPr="0090051E" w:rsidRDefault="00053AAE" w:rsidP="00D70042">
          <w:pPr>
            <w:pStyle w:val="TOCHeading"/>
            <w:rPr>
              <w:color w:val="C00000"/>
            </w:rPr>
          </w:pPr>
          <w:r w:rsidRPr="0090051E">
            <w:rPr>
              <w:color w:val="C00000"/>
            </w:rPr>
            <w:t>Contents</w:t>
          </w:r>
        </w:p>
        <w:p w14:paraId="6D547138" w14:textId="0EEBF043" w:rsidR="00900515" w:rsidRDefault="00053AAE">
          <w:pPr>
            <w:pStyle w:val="TOC1"/>
            <w:tabs>
              <w:tab w:val="right" w:leader="dot" w:pos="9350"/>
            </w:tabs>
            <w:rPr>
              <w:rFonts w:eastAsiaTheme="minorEastAsia"/>
              <w:noProof/>
            </w:rPr>
          </w:pPr>
          <w:r w:rsidRPr="0090051E">
            <w:fldChar w:fldCharType="begin"/>
          </w:r>
          <w:r w:rsidRPr="0090051E">
            <w:instrText xml:space="preserve"> TOC \o "1-3" \h \z \u </w:instrText>
          </w:r>
          <w:r w:rsidRPr="0090051E">
            <w:fldChar w:fldCharType="separate"/>
          </w:r>
          <w:hyperlink w:anchor="_Toc232415474" w:history="1">
            <w:r w:rsidR="00900515" w:rsidRPr="00EB01F8">
              <w:rPr>
                <w:rStyle w:val="Hyperlink"/>
                <w:b/>
                <w:noProof/>
              </w:rPr>
              <w:t>1.0 Students</w:t>
            </w:r>
            <w:r w:rsidR="00900515">
              <w:rPr>
                <w:noProof/>
                <w:webHidden/>
              </w:rPr>
              <w:tab/>
            </w:r>
            <w:r w:rsidR="00900515">
              <w:rPr>
                <w:noProof/>
                <w:webHidden/>
              </w:rPr>
              <w:fldChar w:fldCharType="begin"/>
            </w:r>
            <w:r w:rsidR="00900515">
              <w:rPr>
                <w:noProof/>
                <w:webHidden/>
              </w:rPr>
              <w:instrText xml:space="preserve"> PAGEREF _Toc232415474 \h </w:instrText>
            </w:r>
            <w:r w:rsidR="00900515">
              <w:rPr>
                <w:noProof/>
                <w:webHidden/>
              </w:rPr>
            </w:r>
            <w:r w:rsidR="00900515">
              <w:rPr>
                <w:noProof/>
                <w:webHidden/>
              </w:rPr>
              <w:fldChar w:fldCharType="separate"/>
            </w:r>
            <w:r w:rsidR="00900515">
              <w:rPr>
                <w:noProof/>
                <w:webHidden/>
              </w:rPr>
              <w:t>1</w:t>
            </w:r>
            <w:r w:rsidR="00900515">
              <w:rPr>
                <w:noProof/>
                <w:webHidden/>
              </w:rPr>
              <w:fldChar w:fldCharType="end"/>
            </w:r>
          </w:hyperlink>
        </w:p>
        <w:p w14:paraId="5B8863D5" w14:textId="23FD3C8F" w:rsidR="00900515" w:rsidRDefault="00900515">
          <w:pPr>
            <w:pStyle w:val="TOC2"/>
            <w:tabs>
              <w:tab w:val="right" w:leader="dot" w:pos="9350"/>
            </w:tabs>
            <w:rPr>
              <w:rFonts w:eastAsiaTheme="minorEastAsia"/>
              <w:noProof/>
            </w:rPr>
          </w:pPr>
          <w:hyperlink w:anchor="_Toc232415475" w:history="1">
            <w:r w:rsidRPr="00EB01F8">
              <w:rPr>
                <w:rStyle w:val="Hyperlink"/>
                <w:i/>
                <w:noProof/>
              </w:rPr>
              <w:t>1.1 Undergraduate Student Definition and Eligibility</w:t>
            </w:r>
            <w:r>
              <w:rPr>
                <w:noProof/>
                <w:webHidden/>
              </w:rPr>
              <w:tab/>
            </w:r>
            <w:r>
              <w:rPr>
                <w:noProof/>
                <w:webHidden/>
              </w:rPr>
              <w:fldChar w:fldCharType="begin"/>
            </w:r>
            <w:r>
              <w:rPr>
                <w:noProof/>
                <w:webHidden/>
              </w:rPr>
              <w:instrText xml:space="preserve"> PAGEREF _Toc232415475 \h </w:instrText>
            </w:r>
            <w:r>
              <w:rPr>
                <w:noProof/>
                <w:webHidden/>
              </w:rPr>
            </w:r>
            <w:r>
              <w:rPr>
                <w:noProof/>
                <w:webHidden/>
              </w:rPr>
              <w:fldChar w:fldCharType="separate"/>
            </w:r>
            <w:r>
              <w:rPr>
                <w:noProof/>
                <w:webHidden/>
              </w:rPr>
              <w:t>1</w:t>
            </w:r>
            <w:r>
              <w:rPr>
                <w:noProof/>
                <w:webHidden/>
              </w:rPr>
              <w:fldChar w:fldCharType="end"/>
            </w:r>
          </w:hyperlink>
        </w:p>
        <w:p w14:paraId="1A6AD133" w14:textId="7823C893" w:rsidR="00900515" w:rsidRDefault="00900515">
          <w:pPr>
            <w:pStyle w:val="TOC2"/>
            <w:tabs>
              <w:tab w:val="right" w:leader="dot" w:pos="9350"/>
            </w:tabs>
            <w:rPr>
              <w:rFonts w:eastAsiaTheme="minorEastAsia"/>
              <w:noProof/>
            </w:rPr>
          </w:pPr>
          <w:hyperlink w:anchor="_Toc232415476" w:history="1">
            <w:r w:rsidRPr="00EB01F8">
              <w:rPr>
                <w:rStyle w:val="Hyperlink"/>
                <w:i/>
                <w:noProof/>
              </w:rPr>
              <w:t>1.2 Graduate Student Definition and Eligibility</w:t>
            </w:r>
            <w:r>
              <w:rPr>
                <w:noProof/>
                <w:webHidden/>
              </w:rPr>
              <w:tab/>
            </w:r>
            <w:r>
              <w:rPr>
                <w:noProof/>
                <w:webHidden/>
              </w:rPr>
              <w:fldChar w:fldCharType="begin"/>
            </w:r>
            <w:r>
              <w:rPr>
                <w:noProof/>
                <w:webHidden/>
              </w:rPr>
              <w:instrText xml:space="preserve"> PAGEREF _Toc232415476 \h </w:instrText>
            </w:r>
            <w:r>
              <w:rPr>
                <w:noProof/>
                <w:webHidden/>
              </w:rPr>
            </w:r>
            <w:r>
              <w:rPr>
                <w:noProof/>
                <w:webHidden/>
              </w:rPr>
              <w:fldChar w:fldCharType="separate"/>
            </w:r>
            <w:r>
              <w:rPr>
                <w:noProof/>
                <w:webHidden/>
              </w:rPr>
              <w:t>1</w:t>
            </w:r>
            <w:r>
              <w:rPr>
                <w:noProof/>
                <w:webHidden/>
              </w:rPr>
              <w:fldChar w:fldCharType="end"/>
            </w:r>
          </w:hyperlink>
        </w:p>
        <w:p w14:paraId="0EE85DCF" w14:textId="79D6B769" w:rsidR="00900515" w:rsidRDefault="00900515">
          <w:pPr>
            <w:pStyle w:val="TOC2"/>
            <w:tabs>
              <w:tab w:val="right" w:leader="dot" w:pos="9350"/>
            </w:tabs>
            <w:rPr>
              <w:rFonts w:eastAsiaTheme="minorEastAsia"/>
              <w:noProof/>
            </w:rPr>
          </w:pPr>
          <w:hyperlink w:anchor="_Toc232415477" w:history="1">
            <w:r w:rsidRPr="00EB01F8">
              <w:rPr>
                <w:rStyle w:val="Hyperlink"/>
                <w:i/>
                <w:noProof/>
              </w:rPr>
              <w:t>1.3 Sloan Executive MBA and Sloan Visiting Fellows Definition and Eligibility</w:t>
            </w:r>
            <w:r>
              <w:rPr>
                <w:noProof/>
                <w:webHidden/>
              </w:rPr>
              <w:tab/>
            </w:r>
            <w:r>
              <w:rPr>
                <w:noProof/>
                <w:webHidden/>
              </w:rPr>
              <w:fldChar w:fldCharType="begin"/>
            </w:r>
            <w:r>
              <w:rPr>
                <w:noProof/>
                <w:webHidden/>
              </w:rPr>
              <w:instrText xml:space="preserve"> PAGEREF _Toc232415477 \h </w:instrText>
            </w:r>
            <w:r>
              <w:rPr>
                <w:noProof/>
                <w:webHidden/>
              </w:rPr>
            </w:r>
            <w:r>
              <w:rPr>
                <w:noProof/>
                <w:webHidden/>
              </w:rPr>
              <w:fldChar w:fldCharType="separate"/>
            </w:r>
            <w:r>
              <w:rPr>
                <w:noProof/>
                <w:webHidden/>
              </w:rPr>
              <w:t>2</w:t>
            </w:r>
            <w:r>
              <w:rPr>
                <w:noProof/>
                <w:webHidden/>
              </w:rPr>
              <w:fldChar w:fldCharType="end"/>
            </w:r>
          </w:hyperlink>
        </w:p>
        <w:p w14:paraId="03637E3B" w14:textId="1472272B" w:rsidR="00900515" w:rsidRDefault="00900515">
          <w:pPr>
            <w:pStyle w:val="TOC2"/>
            <w:tabs>
              <w:tab w:val="right" w:leader="dot" w:pos="9350"/>
            </w:tabs>
            <w:rPr>
              <w:rFonts w:eastAsiaTheme="minorEastAsia"/>
              <w:noProof/>
            </w:rPr>
          </w:pPr>
          <w:hyperlink w:anchor="_Toc232415478" w:history="1">
            <w:r w:rsidRPr="00EB01F8">
              <w:rPr>
                <w:rStyle w:val="Hyperlink"/>
                <w:i/>
                <w:noProof/>
              </w:rPr>
              <w:t>1.4 Exchange Students and Exchange Scholars Definition and Eligibility</w:t>
            </w:r>
            <w:r>
              <w:rPr>
                <w:noProof/>
                <w:webHidden/>
              </w:rPr>
              <w:tab/>
            </w:r>
            <w:r>
              <w:rPr>
                <w:noProof/>
                <w:webHidden/>
              </w:rPr>
              <w:fldChar w:fldCharType="begin"/>
            </w:r>
            <w:r>
              <w:rPr>
                <w:noProof/>
                <w:webHidden/>
              </w:rPr>
              <w:instrText xml:space="preserve"> PAGEREF _Toc232415478 \h </w:instrText>
            </w:r>
            <w:r>
              <w:rPr>
                <w:noProof/>
                <w:webHidden/>
              </w:rPr>
            </w:r>
            <w:r>
              <w:rPr>
                <w:noProof/>
                <w:webHidden/>
              </w:rPr>
              <w:fldChar w:fldCharType="separate"/>
            </w:r>
            <w:r>
              <w:rPr>
                <w:noProof/>
                <w:webHidden/>
              </w:rPr>
              <w:t>2</w:t>
            </w:r>
            <w:r>
              <w:rPr>
                <w:noProof/>
                <w:webHidden/>
              </w:rPr>
              <w:fldChar w:fldCharType="end"/>
            </w:r>
          </w:hyperlink>
        </w:p>
        <w:p w14:paraId="1AEE6179" w14:textId="4BC5AD6C" w:rsidR="00900515" w:rsidRDefault="00900515">
          <w:pPr>
            <w:pStyle w:val="TOC2"/>
            <w:tabs>
              <w:tab w:val="right" w:leader="dot" w:pos="9350"/>
            </w:tabs>
            <w:rPr>
              <w:rFonts w:eastAsiaTheme="minorEastAsia"/>
              <w:noProof/>
            </w:rPr>
          </w:pPr>
          <w:hyperlink w:anchor="_Toc232415479" w:history="1">
            <w:r w:rsidRPr="00EB01F8">
              <w:rPr>
                <w:rStyle w:val="Hyperlink"/>
                <w:i/>
                <w:noProof/>
              </w:rPr>
              <w:t>1.5 Advanced Studies Program Definition and Eligibility</w:t>
            </w:r>
            <w:r>
              <w:rPr>
                <w:noProof/>
                <w:webHidden/>
              </w:rPr>
              <w:tab/>
            </w:r>
            <w:r>
              <w:rPr>
                <w:noProof/>
                <w:webHidden/>
              </w:rPr>
              <w:fldChar w:fldCharType="begin"/>
            </w:r>
            <w:r>
              <w:rPr>
                <w:noProof/>
                <w:webHidden/>
              </w:rPr>
              <w:instrText xml:space="preserve"> PAGEREF _Toc232415479 \h </w:instrText>
            </w:r>
            <w:r>
              <w:rPr>
                <w:noProof/>
                <w:webHidden/>
              </w:rPr>
            </w:r>
            <w:r>
              <w:rPr>
                <w:noProof/>
                <w:webHidden/>
              </w:rPr>
              <w:fldChar w:fldCharType="separate"/>
            </w:r>
            <w:r>
              <w:rPr>
                <w:noProof/>
                <w:webHidden/>
              </w:rPr>
              <w:t>2</w:t>
            </w:r>
            <w:r>
              <w:rPr>
                <w:noProof/>
                <w:webHidden/>
              </w:rPr>
              <w:fldChar w:fldCharType="end"/>
            </w:r>
          </w:hyperlink>
        </w:p>
        <w:p w14:paraId="461E0FBC" w14:textId="69B99E15" w:rsidR="00900515" w:rsidRDefault="00900515">
          <w:pPr>
            <w:pStyle w:val="TOC2"/>
            <w:tabs>
              <w:tab w:val="right" w:leader="dot" w:pos="9350"/>
            </w:tabs>
            <w:rPr>
              <w:rFonts w:eastAsiaTheme="minorEastAsia"/>
              <w:noProof/>
            </w:rPr>
          </w:pPr>
          <w:hyperlink w:anchor="_Toc232415480" w:history="1">
            <w:r w:rsidRPr="00EB01F8">
              <w:rPr>
                <w:rStyle w:val="Hyperlink"/>
                <w:i/>
                <w:noProof/>
              </w:rPr>
              <w:t>1.6 Summer Programs Definition and Eligibility</w:t>
            </w:r>
            <w:r>
              <w:rPr>
                <w:noProof/>
                <w:webHidden/>
              </w:rPr>
              <w:tab/>
            </w:r>
            <w:r>
              <w:rPr>
                <w:noProof/>
                <w:webHidden/>
              </w:rPr>
              <w:fldChar w:fldCharType="begin"/>
            </w:r>
            <w:r>
              <w:rPr>
                <w:noProof/>
                <w:webHidden/>
              </w:rPr>
              <w:instrText xml:space="preserve"> PAGEREF _Toc232415480 \h </w:instrText>
            </w:r>
            <w:r>
              <w:rPr>
                <w:noProof/>
                <w:webHidden/>
              </w:rPr>
            </w:r>
            <w:r>
              <w:rPr>
                <w:noProof/>
                <w:webHidden/>
              </w:rPr>
              <w:fldChar w:fldCharType="separate"/>
            </w:r>
            <w:r>
              <w:rPr>
                <w:noProof/>
                <w:webHidden/>
              </w:rPr>
              <w:t>3</w:t>
            </w:r>
            <w:r>
              <w:rPr>
                <w:noProof/>
                <w:webHidden/>
              </w:rPr>
              <w:fldChar w:fldCharType="end"/>
            </w:r>
          </w:hyperlink>
        </w:p>
        <w:p w14:paraId="0A4E82A8" w14:textId="6AE997C7" w:rsidR="00900515" w:rsidRDefault="00900515">
          <w:pPr>
            <w:pStyle w:val="TOC2"/>
            <w:tabs>
              <w:tab w:val="right" w:leader="dot" w:pos="9350"/>
            </w:tabs>
            <w:rPr>
              <w:rFonts w:eastAsiaTheme="minorEastAsia"/>
              <w:noProof/>
            </w:rPr>
          </w:pPr>
          <w:hyperlink w:anchor="_Toc232415481" w:history="1">
            <w:r w:rsidRPr="00EB01F8">
              <w:rPr>
                <w:rStyle w:val="Hyperlink"/>
                <w:i/>
                <w:noProof/>
              </w:rPr>
              <w:t>1.7 Joint Degree Programs Definition and Eligibility</w:t>
            </w:r>
            <w:r>
              <w:rPr>
                <w:noProof/>
                <w:webHidden/>
              </w:rPr>
              <w:tab/>
            </w:r>
            <w:r>
              <w:rPr>
                <w:noProof/>
                <w:webHidden/>
              </w:rPr>
              <w:fldChar w:fldCharType="begin"/>
            </w:r>
            <w:r>
              <w:rPr>
                <w:noProof/>
                <w:webHidden/>
              </w:rPr>
              <w:instrText xml:space="preserve"> PAGEREF _Toc232415481 \h </w:instrText>
            </w:r>
            <w:r>
              <w:rPr>
                <w:noProof/>
                <w:webHidden/>
              </w:rPr>
            </w:r>
            <w:r>
              <w:rPr>
                <w:noProof/>
                <w:webHidden/>
              </w:rPr>
              <w:fldChar w:fldCharType="separate"/>
            </w:r>
            <w:r>
              <w:rPr>
                <w:noProof/>
                <w:webHidden/>
              </w:rPr>
              <w:t>3</w:t>
            </w:r>
            <w:r>
              <w:rPr>
                <w:noProof/>
                <w:webHidden/>
              </w:rPr>
              <w:fldChar w:fldCharType="end"/>
            </w:r>
          </w:hyperlink>
        </w:p>
        <w:p w14:paraId="00F714F7" w14:textId="60DD8FB3" w:rsidR="00900515" w:rsidRDefault="00900515">
          <w:pPr>
            <w:pStyle w:val="TOC2"/>
            <w:tabs>
              <w:tab w:val="right" w:leader="dot" w:pos="9350"/>
            </w:tabs>
            <w:rPr>
              <w:rFonts w:eastAsiaTheme="minorEastAsia"/>
              <w:noProof/>
            </w:rPr>
          </w:pPr>
          <w:hyperlink w:anchor="_Toc232415482" w:history="1">
            <w:r w:rsidRPr="00EB01F8">
              <w:rPr>
                <w:rStyle w:val="Hyperlink"/>
                <w:i/>
                <w:noProof/>
              </w:rPr>
              <w:t>1.8 Students Studying Abroad</w:t>
            </w:r>
            <w:r>
              <w:rPr>
                <w:noProof/>
                <w:webHidden/>
              </w:rPr>
              <w:tab/>
            </w:r>
            <w:r>
              <w:rPr>
                <w:noProof/>
                <w:webHidden/>
              </w:rPr>
              <w:fldChar w:fldCharType="begin"/>
            </w:r>
            <w:r>
              <w:rPr>
                <w:noProof/>
                <w:webHidden/>
              </w:rPr>
              <w:instrText xml:space="preserve"> PAGEREF _Toc232415482 \h </w:instrText>
            </w:r>
            <w:r>
              <w:rPr>
                <w:noProof/>
                <w:webHidden/>
              </w:rPr>
            </w:r>
            <w:r>
              <w:rPr>
                <w:noProof/>
                <w:webHidden/>
              </w:rPr>
              <w:fldChar w:fldCharType="separate"/>
            </w:r>
            <w:r>
              <w:rPr>
                <w:noProof/>
                <w:webHidden/>
              </w:rPr>
              <w:t>3</w:t>
            </w:r>
            <w:r>
              <w:rPr>
                <w:noProof/>
                <w:webHidden/>
              </w:rPr>
              <w:fldChar w:fldCharType="end"/>
            </w:r>
          </w:hyperlink>
        </w:p>
        <w:p w14:paraId="21EC0878" w14:textId="52E01A35" w:rsidR="00900515" w:rsidRDefault="00900515">
          <w:pPr>
            <w:pStyle w:val="TOC2"/>
            <w:tabs>
              <w:tab w:val="right" w:leader="dot" w:pos="9350"/>
            </w:tabs>
            <w:rPr>
              <w:rFonts w:eastAsiaTheme="minorEastAsia"/>
              <w:noProof/>
            </w:rPr>
          </w:pPr>
          <w:hyperlink w:anchor="_Toc232415483" w:history="1">
            <w:r w:rsidRPr="00EB01F8">
              <w:rPr>
                <w:rStyle w:val="Hyperlink"/>
                <w:i/>
                <w:noProof/>
              </w:rPr>
              <w:t>1.9 Medical and Academic Leave</w:t>
            </w:r>
            <w:r>
              <w:rPr>
                <w:noProof/>
                <w:webHidden/>
              </w:rPr>
              <w:tab/>
            </w:r>
            <w:r>
              <w:rPr>
                <w:noProof/>
                <w:webHidden/>
              </w:rPr>
              <w:fldChar w:fldCharType="begin"/>
            </w:r>
            <w:r>
              <w:rPr>
                <w:noProof/>
                <w:webHidden/>
              </w:rPr>
              <w:instrText xml:space="preserve"> PAGEREF _Toc232415483 \h </w:instrText>
            </w:r>
            <w:r>
              <w:rPr>
                <w:noProof/>
                <w:webHidden/>
              </w:rPr>
            </w:r>
            <w:r>
              <w:rPr>
                <w:noProof/>
                <w:webHidden/>
              </w:rPr>
              <w:fldChar w:fldCharType="separate"/>
            </w:r>
            <w:r>
              <w:rPr>
                <w:noProof/>
                <w:webHidden/>
              </w:rPr>
              <w:t>4</w:t>
            </w:r>
            <w:r>
              <w:rPr>
                <w:noProof/>
                <w:webHidden/>
              </w:rPr>
              <w:fldChar w:fldCharType="end"/>
            </w:r>
          </w:hyperlink>
        </w:p>
        <w:p w14:paraId="770DBB09" w14:textId="7C769EC3" w:rsidR="00900515" w:rsidRDefault="00900515">
          <w:pPr>
            <w:pStyle w:val="TOC2"/>
            <w:tabs>
              <w:tab w:val="right" w:leader="dot" w:pos="9350"/>
            </w:tabs>
            <w:rPr>
              <w:rFonts w:eastAsiaTheme="minorEastAsia"/>
              <w:noProof/>
            </w:rPr>
          </w:pPr>
          <w:hyperlink w:anchor="_Toc232415484" w:history="1">
            <w:r w:rsidRPr="00EB01F8">
              <w:rPr>
                <w:rStyle w:val="Hyperlink"/>
                <w:i/>
                <w:noProof/>
              </w:rPr>
              <w:t>1.10 Other Leaves and Changes in Student Status</w:t>
            </w:r>
            <w:r>
              <w:rPr>
                <w:noProof/>
                <w:webHidden/>
              </w:rPr>
              <w:tab/>
            </w:r>
            <w:r>
              <w:rPr>
                <w:noProof/>
                <w:webHidden/>
              </w:rPr>
              <w:fldChar w:fldCharType="begin"/>
            </w:r>
            <w:r>
              <w:rPr>
                <w:noProof/>
                <w:webHidden/>
              </w:rPr>
              <w:instrText xml:space="preserve"> PAGEREF _Toc232415484 \h </w:instrText>
            </w:r>
            <w:r>
              <w:rPr>
                <w:noProof/>
                <w:webHidden/>
              </w:rPr>
            </w:r>
            <w:r>
              <w:rPr>
                <w:noProof/>
                <w:webHidden/>
              </w:rPr>
              <w:fldChar w:fldCharType="separate"/>
            </w:r>
            <w:r>
              <w:rPr>
                <w:noProof/>
                <w:webHidden/>
              </w:rPr>
              <w:t>4</w:t>
            </w:r>
            <w:r>
              <w:rPr>
                <w:noProof/>
                <w:webHidden/>
              </w:rPr>
              <w:fldChar w:fldCharType="end"/>
            </w:r>
          </w:hyperlink>
        </w:p>
        <w:p w14:paraId="64CD2CA2" w14:textId="5F529EDC" w:rsidR="00900515" w:rsidRDefault="00900515">
          <w:pPr>
            <w:pStyle w:val="TOC2"/>
            <w:tabs>
              <w:tab w:val="right" w:leader="dot" w:pos="9350"/>
            </w:tabs>
            <w:rPr>
              <w:rFonts w:eastAsiaTheme="minorEastAsia"/>
              <w:noProof/>
            </w:rPr>
          </w:pPr>
          <w:hyperlink w:anchor="_Toc232415485" w:history="1">
            <w:r w:rsidRPr="00EB01F8">
              <w:rPr>
                <w:rStyle w:val="Hyperlink"/>
                <w:i/>
                <w:noProof/>
              </w:rPr>
              <w:t>1.11 Medicare Eligible Students</w:t>
            </w:r>
            <w:r>
              <w:rPr>
                <w:noProof/>
                <w:webHidden/>
              </w:rPr>
              <w:tab/>
            </w:r>
            <w:r>
              <w:rPr>
                <w:noProof/>
                <w:webHidden/>
              </w:rPr>
              <w:fldChar w:fldCharType="begin"/>
            </w:r>
            <w:r>
              <w:rPr>
                <w:noProof/>
                <w:webHidden/>
              </w:rPr>
              <w:instrText xml:space="preserve"> PAGEREF _Toc232415485 \h </w:instrText>
            </w:r>
            <w:r>
              <w:rPr>
                <w:noProof/>
                <w:webHidden/>
              </w:rPr>
            </w:r>
            <w:r>
              <w:rPr>
                <w:noProof/>
                <w:webHidden/>
              </w:rPr>
              <w:fldChar w:fldCharType="separate"/>
            </w:r>
            <w:r>
              <w:rPr>
                <w:noProof/>
                <w:webHidden/>
              </w:rPr>
              <w:t>4</w:t>
            </w:r>
            <w:r>
              <w:rPr>
                <w:noProof/>
                <w:webHidden/>
              </w:rPr>
              <w:fldChar w:fldCharType="end"/>
            </w:r>
          </w:hyperlink>
        </w:p>
        <w:p w14:paraId="2E363BB6" w14:textId="3166DE98" w:rsidR="00900515" w:rsidRDefault="00900515">
          <w:pPr>
            <w:pStyle w:val="TOC2"/>
            <w:tabs>
              <w:tab w:val="right" w:leader="dot" w:pos="9350"/>
            </w:tabs>
            <w:rPr>
              <w:rFonts w:eastAsiaTheme="minorEastAsia"/>
              <w:noProof/>
            </w:rPr>
          </w:pPr>
          <w:hyperlink w:anchor="_Toc232415486" w:history="1">
            <w:r w:rsidRPr="00EB01F8">
              <w:rPr>
                <w:rStyle w:val="Hyperlink"/>
                <w:i/>
                <w:noProof/>
              </w:rPr>
              <w:t>1.12 Exclusions</w:t>
            </w:r>
            <w:r>
              <w:rPr>
                <w:noProof/>
                <w:webHidden/>
              </w:rPr>
              <w:tab/>
            </w:r>
            <w:r>
              <w:rPr>
                <w:noProof/>
                <w:webHidden/>
              </w:rPr>
              <w:fldChar w:fldCharType="begin"/>
            </w:r>
            <w:r>
              <w:rPr>
                <w:noProof/>
                <w:webHidden/>
              </w:rPr>
              <w:instrText xml:space="preserve"> PAGEREF _Toc232415486 \h </w:instrText>
            </w:r>
            <w:r>
              <w:rPr>
                <w:noProof/>
                <w:webHidden/>
              </w:rPr>
            </w:r>
            <w:r>
              <w:rPr>
                <w:noProof/>
                <w:webHidden/>
              </w:rPr>
              <w:fldChar w:fldCharType="separate"/>
            </w:r>
            <w:r>
              <w:rPr>
                <w:noProof/>
                <w:webHidden/>
              </w:rPr>
              <w:t>4</w:t>
            </w:r>
            <w:r>
              <w:rPr>
                <w:noProof/>
                <w:webHidden/>
              </w:rPr>
              <w:fldChar w:fldCharType="end"/>
            </w:r>
          </w:hyperlink>
        </w:p>
        <w:p w14:paraId="719D8E6E" w14:textId="5A469A85" w:rsidR="00900515" w:rsidRDefault="00900515">
          <w:pPr>
            <w:pStyle w:val="TOC2"/>
            <w:tabs>
              <w:tab w:val="right" w:leader="dot" w:pos="9350"/>
            </w:tabs>
            <w:rPr>
              <w:rFonts w:eastAsiaTheme="minorEastAsia"/>
              <w:noProof/>
            </w:rPr>
          </w:pPr>
          <w:hyperlink w:anchor="_Toc232415487" w:history="1">
            <w:r w:rsidRPr="00EB01F8">
              <w:rPr>
                <w:rStyle w:val="Hyperlink"/>
                <w:i/>
                <w:noProof/>
              </w:rPr>
              <w:t>1.13 Notification in Change of Status</w:t>
            </w:r>
            <w:r>
              <w:rPr>
                <w:noProof/>
                <w:webHidden/>
              </w:rPr>
              <w:tab/>
            </w:r>
            <w:r>
              <w:rPr>
                <w:noProof/>
                <w:webHidden/>
              </w:rPr>
              <w:fldChar w:fldCharType="begin"/>
            </w:r>
            <w:r>
              <w:rPr>
                <w:noProof/>
                <w:webHidden/>
              </w:rPr>
              <w:instrText xml:space="preserve"> PAGEREF _Toc232415487 \h </w:instrText>
            </w:r>
            <w:r>
              <w:rPr>
                <w:noProof/>
                <w:webHidden/>
              </w:rPr>
            </w:r>
            <w:r>
              <w:rPr>
                <w:noProof/>
                <w:webHidden/>
              </w:rPr>
              <w:fldChar w:fldCharType="separate"/>
            </w:r>
            <w:r>
              <w:rPr>
                <w:noProof/>
                <w:webHidden/>
              </w:rPr>
              <w:t>5</w:t>
            </w:r>
            <w:r>
              <w:rPr>
                <w:noProof/>
                <w:webHidden/>
              </w:rPr>
              <w:fldChar w:fldCharType="end"/>
            </w:r>
          </w:hyperlink>
        </w:p>
        <w:p w14:paraId="446DFF95" w14:textId="73DACC86" w:rsidR="00900515" w:rsidRDefault="00900515">
          <w:pPr>
            <w:pStyle w:val="TOC2"/>
            <w:tabs>
              <w:tab w:val="right" w:leader="dot" w:pos="9350"/>
            </w:tabs>
            <w:rPr>
              <w:rFonts w:eastAsiaTheme="minorEastAsia"/>
              <w:noProof/>
            </w:rPr>
          </w:pPr>
          <w:hyperlink w:anchor="_Toc232415488" w:history="1">
            <w:r w:rsidRPr="00EB01F8">
              <w:rPr>
                <w:rStyle w:val="Hyperlink"/>
                <w:i/>
                <w:noProof/>
              </w:rPr>
              <w:t>1.14 Additional Requirements for J-1 and J-2 Visa Holders</w:t>
            </w:r>
            <w:r>
              <w:rPr>
                <w:noProof/>
                <w:webHidden/>
              </w:rPr>
              <w:tab/>
            </w:r>
            <w:r>
              <w:rPr>
                <w:noProof/>
                <w:webHidden/>
              </w:rPr>
              <w:fldChar w:fldCharType="begin"/>
            </w:r>
            <w:r>
              <w:rPr>
                <w:noProof/>
                <w:webHidden/>
              </w:rPr>
              <w:instrText xml:space="preserve"> PAGEREF _Toc232415488 \h </w:instrText>
            </w:r>
            <w:r>
              <w:rPr>
                <w:noProof/>
                <w:webHidden/>
              </w:rPr>
            </w:r>
            <w:r>
              <w:rPr>
                <w:noProof/>
                <w:webHidden/>
              </w:rPr>
              <w:fldChar w:fldCharType="separate"/>
            </w:r>
            <w:r>
              <w:rPr>
                <w:noProof/>
                <w:webHidden/>
              </w:rPr>
              <w:t>5</w:t>
            </w:r>
            <w:r>
              <w:rPr>
                <w:noProof/>
                <w:webHidden/>
              </w:rPr>
              <w:fldChar w:fldCharType="end"/>
            </w:r>
          </w:hyperlink>
        </w:p>
        <w:p w14:paraId="4AF2C714" w14:textId="5E8D8312" w:rsidR="00900515" w:rsidRDefault="00900515">
          <w:pPr>
            <w:pStyle w:val="TOC1"/>
            <w:tabs>
              <w:tab w:val="right" w:leader="dot" w:pos="9350"/>
            </w:tabs>
            <w:rPr>
              <w:rFonts w:eastAsiaTheme="minorEastAsia"/>
              <w:noProof/>
            </w:rPr>
          </w:pPr>
          <w:hyperlink w:anchor="_Toc232415489" w:history="1">
            <w:r w:rsidRPr="00EB01F8">
              <w:rPr>
                <w:rStyle w:val="Hyperlink"/>
                <w:b/>
                <w:noProof/>
              </w:rPr>
              <w:t>2.0 Visiting Students</w:t>
            </w:r>
            <w:r>
              <w:rPr>
                <w:noProof/>
                <w:webHidden/>
              </w:rPr>
              <w:tab/>
            </w:r>
            <w:r>
              <w:rPr>
                <w:noProof/>
                <w:webHidden/>
              </w:rPr>
              <w:fldChar w:fldCharType="begin"/>
            </w:r>
            <w:r>
              <w:rPr>
                <w:noProof/>
                <w:webHidden/>
              </w:rPr>
              <w:instrText xml:space="preserve"> PAGEREF _Toc232415489 \h </w:instrText>
            </w:r>
            <w:r>
              <w:rPr>
                <w:noProof/>
                <w:webHidden/>
              </w:rPr>
            </w:r>
            <w:r>
              <w:rPr>
                <w:noProof/>
                <w:webHidden/>
              </w:rPr>
              <w:fldChar w:fldCharType="separate"/>
            </w:r>
            <w:r>
              <w:rPr>
                <w:noProof/>
                <w:webHidden/>
              </w:rPr>
              <w:t>6</w:t>
            </w:r>
            <w:r>
              <w:rPr>
                <w:noProof/>
                <w:webHidden/>
              </w:rPr>
              <w:fldChar w:fldCharType="end"/>
            </w:r>
          </w:hyperlink>
        </w:p>
        <w:p w14:paraId="5ECC1CD6" w14:textId="578C4D78" w:rsidR="00900515" w:rsidRDefault="00900515">
          <w:pPr>
            <w:pStyle w:val="TOC2"/>
            <w:tabs>
              <w:tab w:val="right" w:leader="dot" w:pos="9350"/>
            </w:tabs>
            <w:rPr>
              <w:rFonts w:eastAsiaTheme="minorEastAsia"/>
              <w:noProof/>
            </w:rPr>
          </w:pPr>
          <w:hyperlink w:anchor="_Toc232415490" w:history="1">
            <w:r w:rsidRPr="00EB01F8">
              <w:rPr>
                <w:rStyle w:val="Hyperlink"/>
                <w:i/>
                <w:noProof/>
              </w:rPr>
              <w:t>2.1 Definition</w:t>
            </w:r>
            <w:r>
              <w:rPr>
                <w:noProof/>
                <w:webHidden/>
              </w:rPr>
              <w:tab/>
            </w:r>
            <w:r>
              <w:rPr>
                <w:noProof/>
                <w:webHidden/>
              </w:rPr>
              <w:fldChar w:fldCharType="begin"/>
            </w:r>
            <w:r>
              <w:rPr>
                <w:noProof/>
                <w:webHidden/>
              </w:rPr>
              <w:instrText xml:space="preserve"> PAGEREF _Toc232415490 \h </w:instrText>
            </w:r>
            <w:r>
              <w:rPr>
                <w:noProof/>
                <w:webHidden/>
              </w:rPr>
            </w:r>
            <w:r>
              <w:rPr>
                <w:noProof/>
                <w:webHidden/>
              </w:rPr>
              <w:fldChar w:fldCharType="separate"/>
            </w:r>
            <w:r>
              <w:rPr>
                <w:noProof/>
                <w:webHidden/>
              </w:rPr>
              <w:t>6</w:t>
            </w:r>
            <w:r>
              <w:rPr>
                <w:noProof/>
                <w:webHidden/>
              </w:rPr>
              <w:fldChar w:fldCharType="end"/>
            </w:r>
          </w:hyperlink>
        </w:p>
        <w:p w14:paraId="577B1E06" w14:textId="07354BF9" w:rsidR="00900515" w:rsidRDefault="00900515">
          <w:pPr>
            <w:pStyle w:val="TOC2"/>
            <w:tabs>
              <w:tab w:val="right" w:leader="dot" w:pos="9350"/>
            </w:tabs>
            <w:rPr>
              <w:rFonts w:eastAsiaTheme="minorEastAsia"/>
              <w:noProof/>
            </w:rPr>
          </w:pPr>
          <w:hyperlink w:anchor="_Toc232415491" w:history="1">
            <w:r w:rsidRPr="00EB01F8">
              <w:rPr>
                <w:rStyle w:val="Hyperlink"/>
                <w:i/>
                <w:noProof/>
              </w:rPr>
              <w:t>2.2 Eligibility</w:t>
            </w:r>
            <w:r>
              <w:rPr>
                <w:noProof/>
                <w:webHidden/>
              </w:rPr>
              <w:tab/>
            </w:r>
            <w:r>
              <w:rPr>
                <w:noProof/>
                <w:webHidden/>
              </w:rPr>
              <w:fldChar w:fldCharType="begin"/>
            </w:r>
            <w:r>
              <w:rPr>
                <w:noProof/>
                <w:webHidden/>
              </w:rPr>
              <w:instrText xml:space="preserve"> PAGEREF _Toc232415491 \h </w:instrText>
            </w:r>
            <w:r>
              <w:rPr>
                <w:noProof/>
                <w:webHidden/>
              </w:rPr>
            </w:r>
            <w:r>
              <w:rPr>
                <w:noProof/>
                <w:webHidden/>
              </w:rPr>
              <w:fldChar w:fldCharType="separate"/>
            </w:r>
            <w:r>
              <w:rPr>
                <w:noProof/>
                <w:webHidden/>
              </w:rPr>
              <w:t>6</w:t>
            </w:r>
            <w:r>
              <w:rPr>
                <w:noProof/>
                <w:webHidden/>
              </w:rPr>
              <w:fldChar w:fldCharType="end"/>
            </w:r>
          </w:hyperlink>
        </w:p>
        <w:p w14:paraId="293BB5AE" w14:textId="7171AE66" w:rsidR="00900515" w:rsidRDefault="00900515">
          <w:pPr>
            <w:pStyle w:val="TOC2"/>
            <w:tabs>
              <w:tab w:val="right" w:leader="dot" w:pos="9350"/>
            </w:tabs>
            <w:rPr>
              <w:rFonts w:eastAsiaTheme="minorEastAsia"/>
              <w:noProof/>
            </w:rPr>
          </w:pPr>
          <w:hyperlink w:anchor="_Toc232415492" w:history="1">
            <w:r w:rsidRPr="00EB01F8">
              <w:rPr>
                <w:rStyle w:val="Hyperlink"/>
                <w:i/>
                <w:noProof/>
              </w:rPr>
              <w:t>2.3 Exclusions</w:t>
            </w:r>
            <w:r>
              <w:rPr>
                <w:noProof/>
                <w:webHidden/>
              </w:rPr>
              <w:tab/>
            </w:r>
            <w:r>
              <w:rPr>
                <w:noProof/>
                <w:webHidden/>
              </w:rPr>
              <w:fldChar w:fldCharType="begin"/>
            </w:r>
            <w:r>
              <w:rPr>
                <w:noProof/>
                <w:webHidden/>
              </w:rPr>
              <w:instrText xml:space="preserve"> PAGEREF _Toc232415492 \h </w:instrText>
            </w:r>
            <w:r>
              <w:rPr>
                <w:noProof/>
                <w:webHidden/>
              </w:rPr>
            </w:r>
            <w:r>
              <w:rPr>
                <w:noProof/>
                <w:webHidden/>
              </w:rPr>
              <w:fldChar w:fldCharType="separate"/>
            </w:r>
            <w:r>
              <w:rPr>
                <w:noProof/>
                <w:webHidden/>
              </w:rPr>
              <w:t>6</w:t>
            </w:r>
            <w:r>
              <w:rPr>
                <w:noProof/>
                <w:webHidden/>
              </w:rPr>
              <w:fldChar w:fldCharType="end"/>
            </w:r>
          </w:hyperlink>
        </w:p>
        <w:p w14:paraId="72B5A475" w14:textId="608485F2" w:rsidR="00900515" w:rsidRDefault="00900515">
          <w:pPr>
            <w:pStyle w:val="TOC2"/>
            <w:tabs>
              <w:tab w:val="right" w:leader="dot" w:pos="9350"/>
            </w:tabs>
            <w:rPr>
              <w:rFonts w:eastAsiaTheme="minorEastAsia"/>
              <w:noProof/>
            </w:rPr>
          </w:pPr>
          <w:hyperlink w:anchor="_Toc232415493" w:history="1">
            <w:r w:rsidRPr="00EB01F8">
              <w:rPr>
                <w:rStyle w:val="Hyperlink"/>
                <w:i/>
                <w:noProof/>
              </w:rPr>
              <w:t>2.4 Notification in Change of Status</w:t>
            </w:r>
            <w:r>
              <w:rPr>
                <w:noProof/>
                <w:webHidden/>
              </w:rPr>
              <w:tab/>
            </w:r>
            <w:r>
              <w:rPr>
                <w:noProof/>
                <w:webHidden/>
              </w:rPr>
              <w:fldChar w:fldCharType="begin"/>
            </w:r>
            <w:r>
              <w:rPr>
                <w:noProof/>
                <w:webHidden/>
              </w:rPr>
              <w:instrText xml:space="preserve"> PAGEREF _Toc232415493 \h </w:instrText>
            </w:r>
            <w:r>
              <w:rPr>
                <w:noProof/>
                <w:webHidden/>
              </w:rPr>
            </w:r>
            <w:r>
              <w:rPr>
                <w:noProof/>
                <w:webHidden/>
              </w:rPr>
              <w:fldChar w:fldCharType="separate"/>
            </w:r>
            <w:r>
              <w:rPr>
                <w:noProof/>
                <w:webHidden/>
              </w:rPr>
              <w:t>6</w:t>
            </w:r>
            <w:r>
              <w:rPr>
                <w:noProof/>
                <w:webHidden/>
              </w:rPr>
              <w:fldChar w:fldCharType="end"/>
            </w:r>
          </w:hyperlink>
        </w:p>
        <w:p w14:paraId="3D730AF3" w14:textId="03CB320B" w:rsidR="00900515" w:rsidRDefault="00900515">
          <w:pPr>
            <w:pStyle w:val="TOC2"/>
            <w:tabs>
              <w:tab w:val="right" w:leader="dot" w:pos="9350"/>
            </w:tabs>
            <w:rPr>
              <w:rFonts w:eastAsiaTheme="minorEastAsia"/>
              <w:noProof/>
            </w:rPr>
          </w:pPr>
          <w:hyperlink w:anchor="_Toc232415494" w:history="1">
            <w:r w:rsidRPr="00EB01F8">
              <w:rPr>
                <w:rStyle w:val="Hyperlink"/>
                <w:i/>
                <w:noProof/>
              </w:rPr>
              <w:t>2.5 Additional Requirements for J-1 and J-2 Visa Holders</w:t>
            </w:r>
            <w:r>
              <w:rPr>
                <w:noProof/>
                <w:webHidden/>
              </w:rPr>
              <w:tab/>
            </w:r>
            <w:r>
              <w:rPr>
                <w:noProof/>
                <w:webHidden/>
              </w:rPr>
              <w:fldChar w:fldCharType="begin"/>
            </w:r>
            <w:r>
              <w:rPr>
                <w:noProof/>
                <w:webHidden/>
              </w:rPr>
              <w:instrText xml:space="preserve"> PAGEREF _Toc232415494 \h </w:instrText>
            </w:r>
            <w:r>
              <w:rPr>
                <w:noProof/>
                <w:webHidden/>
              </w:rPr>
            </w:r>
            <w:r>
              <w:rPr>
                <w:noProof/>
                <w:webHidden/>
              </w:rPr>
              <w:fldChar w:fldCharType="separate"/>
            </w:r>
            <w:r>
              <w:rPr>
                <w:noProof/>
                <w:webHidden/>
              </w:rPr>
              <w:t>7</w:t>
            </w:r>
            <w:r>
              <w:rPr>
                <w:noProof/>
                <w:webHidden/>
              </w:rPr>
              <w:fldChar w:fldCharType="end"/>
            </w:r>
          </w:hyperlink>
        </w:p>
        <w:p w14:paraId="0177DC3B" w14:textId="2F264706" w:rsidR="00900515" w:rsidRDefault="00900515">
          <w:pPr>
            <w:pStyle w:val="TOC1"/>
            <w:tabs>
              <w:tab w:val="right" w:leader="dot" w:pos="9350"/>
            </w:tabs>
            <w:rPr>
              <w:rFonts w:eastAsiaTheme="minorEastAsia"/>
              <w:noProof/>
            </w:rPr>
          </w:pPr>
          <w:hyperlink w:anchor="_Toc232415495" w:history="1">
            <w:r w:rsidRPr="00EB01F8">
              <w:rPr>
                <w:rStyle w:val="Hyperlink"/>
                <w:b/>
                <w:noProof/>
              </w:rPr>
              <w:t>3.0 Other Eligible Individuals</w:t>
            </w:r>
            <w:r>
              <w:rPr>
                <w:noProof/>
                <w:webHidden/>
              </w:rPr>
              <w:tab/>
            </w:r>
            <w:r>
              <w:rPr>
                <w:noProof/>
                <w:webHidden/>
              </w:rPr>
              <w:fldChar w:fldCharType="begin"/>
            </w:r>
            <w:r>
              <w:rPr>
                <w:noProof/>
                <w:webHidden/>
              </w:rPr>
              <w:instrText xml:space="preserve"> PAGEREF _Toc232415495 \h </w:instrText>
            </w:r>
            <w:r>
              <w:rPr>
                <w:noProof/>
                <w:webHidden/>
              </w:rPr>
            </w:r>
            <w:r>
              <w:rPr>
                <w:noProof/>
                <w:webHidden/>
              </w:rPr>
              <w:fldChar w:fldCharType="separate"/>
            </w:r>
            <w:r>
              <w:rPr>
                <w:noProof/>
                <w:webHidden/>
              </w:rPr>
              <w:t>8</w:t>
            </w:r>
            <w:r>
              <w:rPr>
                <w:noProof/>
                <w:webHidden/>
              </w:rPr>
              <w:fldChar w:fldCharType="end"/>
            </w:r>
          </w:hyperlink>
        </w:p>
        <w:p w14:paraId="6E486FA4" w14:textId="41C241F4" w:rsidR="00900515" w:rsidRDefault="00900515">
          <w:pPr>
            <w:pStyle w:val="TOC2"/>
            <w:tabs>
              <w:tab w:val="right" w:leader="dot" w:pos="9350"/>
            </w:tabs>
            <w:rPr>
              <w:rFonts w:eastAsiaTheme="minorEastAsia"/>
              <w:noProof/>
            </w:rPr>
          </w:pPr>
          <w:hyperlink w:anchor="_Toc232415496" w:history="1">
            <w:r w:rsidRPr="00EB01F8">
              <w:rPr>
                <w:rStyle w:val="Hyperlink"/>
                <w:i/>
                <w:noProof/>
              </w:rPr>
              <w:t>3.1 Definition</w:t>
            </w:r>
            <w:r>
              <w:rPr>
                <w:noProof/>
                <w:webHidden/>
              </w:rPr>
              <w:tab/>
            </w:r>
            <w:r>
              <w:rPr>
                <w:noProof/>
                <w:webHidden/>
              </w:rPr>
              <w:fldChar w:fldCharType="begin"/>
            </w:r>
            <w:r>
              <w:rPr>
                <w:noProof/>
                <w:webHidden/>
              </w:rPr>
              <w:instrText xml:space="preserve"> PAGEREF _Toc232415496 \h </w:instrText>
            </w:r>
            <w:r>
              <w:rPr>
                <w:noProof/>
                <w:webHidden/>
              </w:rPr>
            </w:r>
            <w:r>
              <w:rPr>
                <w:noProof/>
                <w:webHidden/>
              </w:rPr>
              <w:fldChar w:fldCharType="separate"/>
            </w:r>
            <w:r>
              <w:rPr>
                <w:noProof/>
                <w:webHidden/>
              </w:rPr>
              <w:t>8</w:t>
            </w:r>
            <w:r>
              <w:rPr>
                <w:noProof/>
                <w:webHidden/>
              </w:rPr>
              <w:fldChar w:fldCharType="end"/>
            </w:r>
          </w:hyperlink>
        </w:p>
        <w:p w14:paraId="6BEFC6DC" w14:textId="30AE2CE8" w:rsidR="00900515" w:rsidRDefault="00900515">
          <w:pPr>
            <w:pStyle w:val="TOC2"/>
            <w:tabs>
              <w:tab w:val="right" w:leader="dot" w:pos="9350"/>
            </w:tabs>
            <w:rPr>
              <w:rFonts w:eastAsiaTheme="minorEastAsia"/>
              <w:noProof/>
            </w:rPr>
          </w:pPr>
          <w:hyperlink w:anchor="_Toc232415497" w:history="1">
            <w:r w:rsidRPr="00EB01F8">
              <w:rPr>
                <w:rStyle w:val="Hyperlink"/>
                <w:i/>
                <w:noProof/>
              </w:rPr>
              <w:t>3.2 Eligibility</w:t>
            </w:r>
            <w:r>
              <w:rPr>
                <w:noProof/>
                <w:webHidden/>
              </w:rPr>
              <w:tab/>
            </w:r>
            <w:r>
              <w:rPr>
                <w:noProof/>
                <w:webHidden/>
              </w:rPr>
              <w:fldChar w:fldCharType="begin"/>
            </w:r>
            <w:r>
              <w:rPr>
                <w:noProof/>
                <w:webHidden/>
              </w:rPr>
              <w:instrText xml:space="preserve"> PAGEREF _Toc232415497 \h </w:instrText>
            </w:r>
            <w:r>
              <w:rPr>
                <w:noProof/>
                <w:webHidden/>
              </w:rPr>
            </w:r>
            <w:r>
              <w:rPr>
                <w:noProof/>
                <w:webHidden/>
              </w:rPr>
              <w:fldChar w:fldCharType="separate"/>
            </w:r>
            <w:r>
              <w:rPr>
                <w:noProof/>
                <w:webHidden/>
              </w:rPr>
              <w:t>8</w:t>
            </w:r>
            <w:r>
              <w:rPr>
                <w:noProof/>
                <w:webHidden/>
              </w:rPr>
              <w:fldChar w:fldCharType="end"/>
            </w:r>
          </w:hyperlink>
        </w:p>
        <w:p w14:paraId="68ACDB08" w14:textId="6DC895C8" w:rsidR="00900515" w:rsidRDefault="00900515">
          <w:pPr>
            <w:pStyle w:val="TOC2"/>
            <w:tabs>
              <w:tab w:val="right" w:leader="dot" w:pos="9350"/>
            </w:tabs>
            <w:rPr>
              <w:rFonts w:eastAsiaTheme="minorEastAsia"/>
              <w:noProof/>
            </w:rPr>
          </w:pPr>
          <w:hyperlink w:anchor="_Toc232415498" w:history="1">
            <w:r w:rsidRPr="00EB01F8">
              <w:rPr>
                <w:rStyle w:val="Hyperlink"/>
                <w:i/>
                <w:noProof/>
              </w:rPr>
              <w:t>3.3 Exclusions</w:t>
            </w:r>
            <w:r>
              <w:rPr>
                <w:noProof/>
                <w:webHidden/>
              </w:rPr>
              <w:tab/>
            </w:r>
            <w:r>
              <w:rPr>
                <w:noProof/>
                <w:webHidden/>
              </w:rPr>
              <w:fldChar w:fldCharType="begin"/>
            </w:r>
            <w:r>
              <w:rPr>
                <w:noProof/>
                <w:webHidden/>
              </w:rPr>
              <w:instrText xml:space="preserve"> PAGEREF _Toc232415498 \h </w:instrText>
            </w:r>
            <w:r>
              <w:rPr>
                <w:noProof/>
                <w:webHidden/>
              </w:rPr>
            </w:r>
            <w:r>
              <w:rPr>
                <w:noProof/>
                <w:webHidden/>
              </w:rPr>
              <w:fldChar w:fldCharType="separate"/>
            </w:r>
            <w:r>
              <w:rPr>
                <w:noProof/>
                <w:webHidden/>
              </w:rPr>
              <w:t>8</w:t>
            </w:r>
            <w:r>
              <w:rPr>
                <w:noProof/>
                <w:webHidden/>
              </w:rPr>
              <w:fldChar w:fldCharType="end"/>
            </w:r>
          </w:hyperlink>
        </w:p>
        <w:p w14:paraId="4A5BBE83" w14:textId="7F7E317E" w:rsidR="00900515" w:rsidRDefault="00900515">
          <w:pPr>
            <w:pStyle w:val="TOC2"/>
            <w:tabs>
              <w:tab w:val="right" w:leader="dot" w:pos="9350"/>
            </w:tabs>
            <w:rPr>
              <w:rFonts w:eastAsiaTheme="minorEastAsia"/>
              <w:noProof/>
            </w:rPr>
          </w:pPr>
          <w:hyperlink w:anchor="_Toc232415499" w:history="1">
            <w:r w:rsidRPr="00EB01F8">
              <w:rPr>
                <w:rStyle w:val="Hyperlink"/>
                <w:i/>
                <w:noProof/>
              </w:rPr>
              <w:t>3.4 Medicare Eligible Other Eligible Individuals</w:t>
            </w:r>
            <w:r>
              <w:rPr>
                <w:noProof/>
                <w:webHidden/>
              </w:rPr>
              <w:tab/>
            </w:r>
            <w:r>
              <w:rPr>
                <w:noProof/>
                <w:webHidden/>
              </w:rPr>
              <w:fldChar w:fldCharType="begin"/>
            </w:r>
            <w:r>
              <w:rPr>
                <w:noProof/>
                <w:webHidden/>
              </w:rPr>
              <w:instrText xml:space="preserve"> PAGEREF _Toc232415499 \h </w:instrText>
            </w:r>
            <w:r>
              <w:rPr>
                <w:noProof/>
                <w:webHidden/>
              </w:rPr>
            </w:r>
            <w:r>
              <w:rPr>
                <w:noProof/>
                <w:webHidden/>
              </w:rPr>
              <w:fldChar w:fldCharType="separate"/>
            </w:r>
            <w:r>
              <w:rPr>
                <w:noProof/>
                <w:webHidden/>
              </w:rPr>
              <w:t>9</w:t>
            </w:r>
            <w:r>
              <w:rPr>
                <w:noProof/>
                <w:webHidden/>
              </w:rPr>
              <w:fldChar w:fldCharType="end"/>
            </w:r>
          </w:hyperlink>
        </w:p>
        <w:p w14:paraId="3CA8840D" w14:textId="58558937" w:rsidR="00900515" w:rsidRDefault="00900515">
          <w:pPr>
            <w:pStyle w:val="TOC2"/>
            <w:tabs>
              <w:tab w:val="right" w:leader="dot" w:pos="9350"/>
            </w:tabs>
            <w:rPr>
              <w:rFonts w:eastAsiaTheme="minorEastAsia"/>
              <w:noProof/>
            </w:rPr>
          </w:pPr>
          <w:hyperlink w:anchor="_Toc232415500" w:history="1">
            <w:r w:rsidRPr="00EB01F8">
              <w:rPr>
                <w:rStyle w:val="Hyperlink"/>
                <w:i/>
                <w:noProof/>
              </w:rPr>
              <w:t>3.5 Notification in Change of Status</w:t>
            </w:r>
            <w:r>
              <w:rPr>
                <w:noProof/>
                <w:webHidden/>
              </w:rPr>
              <w:tab/>
            </w:r>
            <w:r>
              <w:rPr>
                <w:noProof/>
                <w:webHidden/>
              </w:rPr>
              <w:fldChar w:fldCharType="begin"/>
            </w:r>
            <w:r>
              <w:rPr>
                <w:noProof/>
                <w:webHidden/>
              </w:rPr>
              <w:instrText xml:space="preserve"> PAGEREF _Toc232415500 \h </w:instrText>
            </w:r>
            <w:r>
              <w:rPr>
                <w:noProof/>
                <w:webHidden/>
              </w:rPr>
            </w:r>
            <w:r>
              <w:rPr>
                <w:noProof/>
                <w:webHidden/>
              </w:rPr>
              <w:fldChar w:fldCharType="separate"/>
            </w:r>
            <w:r>
              <w:rPr>
                <w:noProof/>
                <w:webHidden/>
              </w:rPr>
              <w:t>9</w:t>
            </w:r>
            <w:r>
              <w:rPr>
                <w:noProof/>
                <w:webHidden/>
              </w:rPr>
              <w:fldChar w:fldCharType="end"/>
            </w:r>
          </w:hyperlink>
        </w:p>
        <w:p w14:paraId="27DEC61C" w14:textId="30472158" w:rsidR="00900515" w:rsidRDefault="00900515">
          <w:pPr>
            <w:pStyle w:val="TOC2"/>
            <w:tabs>
              <w:tab w:val="right" w:leader="dot" w:pos="9350"/>
            </w:tabs>
            <w:rPr>
              <w:rFonts w:eastAsiaTheme="minorEastAsia"/>
              <w:noProof/>
            </w:rPr>
          </w:pPr>
          <w:hyperlink w:anchor="_Toc232415501" w:history="1">
            <w:r w:rsidRPr="00EB01F8">
              <w:rPr>
                <w:rStyle w:val="Hyperlink"/>
                <w:i/>
                <w:noProof/>
              </w:rPr>
              <w:t>3.6 Additional Requirements for J-1 and J-2 Visa Holders</w:t>
            </w:r>
            <w:r>
              <w:rPr>
                <w:noProof/>
                <w:webHidden/>
              </w:rPr>
              <w:tab/>
            </w:r>
            <w:r>
              <w:rPr>
                <w:noProof/>
                <w:webHidden/>
              </w:rPr>
              <w:fldChar w:fldCharType="begin"/>
            </w:r>
            <w:r>
              <w:rPr>
                <w:noProof/>
                <w:webHidden/>
              </w:rPr>
              <w:instrText xml:space="preserve"> PAGEREF _Toc232415501 \h </w:instrText>
            </w:r>
            <w:r>
              <w:rPr>
                <w:noProof/>
                <w:webHidden/>
              </w:rPr>
            </w:r>
            <w:r>
              <w:rPr>
                <w:noProof/>
                <w:webHidden/>
              </w:rPr>
              <w:fldChar w:fldCharType="separate"/>
            </w:r>
            <w:r>
              <w:rPr>
                <w:noProof/>
                <w:webHidden/>
              </w:rPr>
              <w:t>9</w:t>
            </w:r>
            <w:r>
              <w:rPr>
                <w:noProof/>
                <w:webHidden/>
              </w:rPr>
              <w:fldChar w:fldCharType="end"/>
            </w:r>
          </w:hyperlink>
        </w:p>
        <w:p w14:paraId="2862DC6A" w14:textId="7AB9E9DE" w:rsidR="00900515" w:rsidRDefault="00900515">
          <w:pPr>
            <w:pStyle w:val="TOC1"/>
            <w:tabs>
              <w:tab w:val="right" w:leader="dot" w:pos="9350"/>
            </w:tabs>
            <w:rPr>
              <w:rFonts w:eastAsiaTheme="minorEastAsia"/>
              <w:noProof/>
            </w:rPr>
          </w:pPr>
          <w:hyperlink w:anchor="_Toc232415502" w:history="1">
            <w:r w:rsidRPr="00EB01F8">
              <w:rPr>
                <w:rStyle w:val="Hyperlink"/>
                <w:b/>
                <w:noProof/>
              </w:rPr>
              <w:t>4.0 Spouses, Children and Dependents</w:t>
            </w:r>
            <w:r>
              <w:rPr>
                <w:noProof/>
                <w:webHidden/>
              </w:rPr>
              <w:tab/>
            </w:r>
            <w:r>
              <w:rPr>
                <w:noProof/>
                <w:webHidden/>
              </w:rPr>
              <w:fldChar w:fldCharType="begin"/>
            </w:r>
            <w:r>
              <w:rPr>
                <w:noProof/>
                <w:webHidden/>
              </w:rPr>
              <w:instrText xml:space="preserve"> PAGEREF _Toc232415502 \h </w:instrText>
            </w:r>
            <w:r>
              <w:rPr>
                <w:noProof/>
                <w:webHidden/>
              </w:rPr>
            </w:r>
            <w:r>
              <w:rPr>
                <w:noProof/>
                <w:webHidden/>
              </w:rPr>
              <w:fldChar w:fldCharType="separate"/>
            </w:r>
            <w:r>
              <w:rPr>
                <w:noProof/>
                <w:webHidden/>
              </w:rPr>
              <w:t>11</w:t>
            </w:r>
            <w:r>
              <w:rPr>
                <w:noProof/>
                <w:webHidden/>
              </w:rPr>
              <w:fldChar w:fldCharType="end"/>
            </w:r>
          </w:hyperlink>
        </w:p>
        <w:p w14:paraId="73AEA9D8" w14:textId="49EE3BA4" w:rsidR="00900515" w:rsidRDefault="00900515">
          <w:pPr>
            <w:pStyle w:val="TOC2"/>
            <w:tabs>
              <w:tab w:val="right" w:leader="dot" w:pos="9350"/>
            </w:tabs>
            <w:rPr>
              <w:rFonts w:eastAsiaTheme="minorEastAsia"/>
              <w:noProof/>
            </w:rPr>
          </w:pPr>
          <w:hyperlink w:anchor="_Toc232415503" w:history="1">
            <w:r w:rsidRPr="00EB01F8">
              <w:rPr>
                <w:rStyle w:val="Hyperlink"/>
                <w:i/>
                <w:noProof/>
              </w:rPr>
              <w:t>4.1 Definitions</w:t>
            </w:r>
            <w:r>
              <w:rPr>
                <w:noProof/>
                <w:webHidden/>
              </w:rPr>
              <w:tab/>
            </w:r>
            <w:r>
              <w:rPr>
                <w:noProof/>
                <w:webHidden/>
              </w:rPr>
              <w:fldChar w:fldCharType="begin"/>
            </w:r>
            <w:r>
              <w:rPr>
                <w:noProof/>
                <w:webHidden/>
              </w:rPr>
              <w:instrText xml:space="preserve"> PAGEREF _Toc232415503 \h </w:instrText>
            </w:r>
            <w:r>
              <w:rPr>
                <w:noProof/>
                <w:webHidden/>
              </w:rPr>
            </w:r>
            <w:r>
              <w:rPr>
                <w:noProof/>
                <w:webHidden/>
              </w:rPr>
              <w:fldChar w:fldCharType="separate"/>
            </w:r>
            <w:r>
              <w:rPr>
                <w:noProof/>
                <w:webHidden/>
              </w:rPr>
              <w:t>11</w:t>
            </w:r>
            <w:r>
              <w:rPr>
                <w:noProof/>
                <w:webHidden/>
              </w:rPr>
              <w:fldChar w:fldCharType="end"/>
            </w:r>
          </w:hyperlink>
        </w:p>
        <w:p w14:paraId="0EB6AD6C" w14:textId="247994E0" w:rsidR="00900515" w:rsidRDefault="00900515">
          <w:pPr>
            <w:pStyle w:val="TOC2"/>
            <w:tabs>
              <w:tab w:val="right" w:leader="dot" w:pos="9350"/>
            </w:tabs>
            <w:rPr>
              <w:rFonts w:eastAsiaTheme="minorEastAsia"/>
              <w:noProof/>
            </w:rPr>
          </w:pPr>
          <w:hyperlink w:anchor="_Toc232415504" w:history="1">
            <w:r w:rsidRPr="00EB01F8">
              <w:rPr>
                <w:rStyle w:val="Hyperlink"/>
                <w:i/>
                <w:noProof/>
              </w:rPr>
              <w:t>4.2 Domestic Partner/Spousal Equivalent</w:t>
            </w:r>
            <w:r>
              <w:rPr>
                <w:noProof/>
                <w:webHidden/>
              </w:rPr>
              <w:tab/>
            </w:r>
            <w:r>
              <w:rPr>
                <w:noProof/>
                <w:webHidden/>
              </w:rPr>
              <w:fldChar w:fldCharType="begin"/>
            </w:r>
            <w:r>
              <w:rPr>
                <w:noProof/>
                <w:webHidden/>
              </w:rPr>
              <w:instrText xml:space="preserve"> PAGEREF _Toc232415504 \h </w:instrText>
            </w:r>
            <w:r>
              <w:rPr>
                <w:noProof/>
                <w:webHidden/>
              </w:rPr>
            </w:r>
            <w:r>
              <w:rPr>
                <w:noProof/>
                <w:webHidden/>
              </w:rPr>
              <w:fldChar w:fldCharType="separate"/>
            </w:r>
            <w:r>
              <w:rPr>
                <w:noProof/>
                <w:webHidden/>
              </w:rPr>
              <w:t>11</w:t>
            </w:r>
            <w:r>
              <w:rPr>
                <w:noProof/>
                <w:webHidden/>
              </w:rPr>
              <w:fldChar w:fldCharType="end"/>
            </w:r>
          </w:hyperlink>
        </w:p>
        <w:p w14:paraId="1127B5B8" w14:textId="19FEB8D1" w:rsidR="00900515" w:rsidRDefault="00900515">
          <w:pPr>
            <w:pStyle w:val="TOC2"/>
            <w:tabs>
              <w:tab w:val="right" w:leader="dot" w:pos="9350"/>
            </w:tabs>
            <w:rPr>
              <w:rFonts w:eastAsiaTheme="minorEastAsia"/>
              <w:noProof/>
            </w:rPr>
          </w:pPr>
          <w:hyperlink w:anchor="_Toc232415505" w:history="1">
            <w:r w:rsidRPr="00EB01F8">
              <w:rPr>
                <w:rStyle w:val="Hyperlink"/>
                <w:i/>
                <w:noProof/>
              </w:rPr>
              <w:t>4.3 Documentation</w:t>
            </w:r>
            <w:r>
              <w:rPr>
                <w:noProof/>
                <w:webHidden/>
              </w:rPr>
              <w:tab/>
            </w:r>
            <w:r>
              <w:rPr>
                <w:noProof/>
                <w:webHidden/>
              </w:rPr>
              <w:fldChar w:fldCharType="begin"/>
            </w:r>
            <w:r>
              <w:rPr>
                <w:noProof/>
                <w:webHidden/>
              </w:rPr>
              <w:instrText xml:space="preserve"> PAGEREF _Toc232415505 \h </w:instrText>
            </w:r>
            <w:r>
              <w:rPr>
                <w:noProof/>
                <w:webHidden/>
              </w:rPr>
            </w:r>
            <w:r>
              <w:rPr>
                <w:noProof/>
                <w:webHidden/>
              </w:rPr>
              <w:fldChar w:fldCharType="separate"/>
            </w:r>
            <w:r>
              <w:rPr>
                <w:noProof/>
                <w:webHidden/>
              </w:rPr>
              <w:t>12</w:t>
            </w:r>
            <w:r>
              <w:rPr>
                <w:noProof/>
                <w:webHidden/>
              </w:rPr>
              <w:fldChar w:fldCharType="end"/>
            </w:r>
          </w:hyperlink>
        </w:p>
        <w:p w14:paraId="3B731123" w14:textId="3AF3DB04" w:rsidR="00900515" w:rsidRDefault="00900515">
          <w:pPr>
            <w:pStyle w:val="TOC1"/>
            <w:tabs>
              <w:tab w:val="right" w:leader="dot" w:pos="9350"/>
            </w:tabs>
            <w:rPr>
              <w:rFonts w:eastAsiaTheme="minorEastAsia"/>
              <w:noProof/>
            </w:rPr>
          </w:pPr>
          <w:hyperlink w:anchor="_Toc232415506" w:history="1">
            <w:r w:rsidRPr="00EB01F8">
              <w:rPr>
                <w:rStyle w:val="Hyperlink"/>
                <w:b/>
                <w:noProof/>
              </w:rPr>
              <w:t>5.0 Benefit Year, Coverage Periods, Enrollment and Renewals</w:t>
            </w:r>
            <w:r>
              <w:rPr>
                <w:noProof/>
                <w:webHidden/>
              </w:rPr>
              <w:tab/>
            </w:r>
            <w:r>
              <w:rPr>
                <w:noProof/>
                <w:webHidden/>
              </w:rPr>
              <w:fldChar w:fldCharType="begin"/>
            </w:r>
            <w:r>
              <w:rPr>
                <w:noProof/>
                <w:webHidden/>
              </w:rPr>
              <w:instrText xml:space="preserve"> PAGEREF _Toc232415506 \h </w:instrText>
            </w:r>
            <w:r>
              <w:rPr>
                <w:noProof/>
                <w:webHidden/>
              </w:rPr>
            </w:r>
            <w:r>
              <w:rPr>
                <w:noProof/>
                <w:webHidden/>
              </w:rPr>
              <w:fldChar w:fldCharType="separate"/>
            </w:r>
            <w:r>
              <w:rPr>
                <w:noProof/>
                <w:webHidden/>
              </w:rPr>
              <w:t>13</w:t>
            </w:r>
            <w:r>
              <w:rPr>
                <w:noProof/>
                <w:webHidden/>
              </w:rPr>
              <w:fldChar w:fldCharType="end"/>
            </w:r>
          </w:hyperlink>
        </w:p>
        <w:p w14:paraId="48653585" w14:textId="3846C420" w:rsidR="00900515" w:rsidRDefault="00900515">
          <w:pPr>
            <w:pStyle w:val="TOC2"/>
            <w:tabs>
              <w:tab w:val="right" w:leader="dot" w:pos="9350"/>
            </w:tabs>
            <w:rPr>
              <w:rFonts w:eastAsiaTheme="minorEastAsia"/>
              <w:noProof/>
            </w:rPr>
          </w:pPr>
          <w:hyperlink w:anchor="_Toc232415507" w:history="1">
            <w:r w:rsidRPr="00EB01F8">
              <w:rPr>
                <w:rStyle w:val="Hyperlink"/>
                <w:i/>
                <w:noProof/>
              </w:rPr>
              <w:t>5.1 Benefit Year and Health Plan Coverage Periods</w:t>
            </w:r>
            <w:r>
              <w:rPr>
                <w:noProof/>
                <w:webHidden/>
              </w:rPr>
              <w:tab/>
            </w:r>
            <w:r>
              <w:rPr>
                <w:noProof/>
                <w:webHidden/>
              </w:rPr>
              <w:fldChar w:fldCharType="begin"/>
            </w:r>
            <w:r>
              <w:rPr>
                <w:noProof/>
                <w:webHidden/>
              </w:rPr>
              <w:instrText xml:space="preserve"> PAGEREF _Toc232415507 \h </w:instrText>
            </w:r>
            <w:r>
              <w:rPr>
                <w:noProof/>
                <w:webHidden/>
              </w:rPr>
            </w:r>
            <w:r>
              <w:rPr>
                <w:noProof/>
                <w:webHidden/>
              </w:rPr>
              <w:fldChar w:fldCharType="separate"/>
            </w:r>
            <w:r>
              <w:rPr>
                <w:noProof/>
                <w:webHidden/>
              </w:rPr>
              <w:t>13</w:t>
            </w:r>
            <w:r>
              <w:rPr>
                <w:noProof/>
                <w:webHidden/>
              </w:rPr>
              <w:fldChar w:fldCharType="end"/>
            </w:r>
          </w:hyperlink>
        </w:p>
        <w:p w14:paraId="6DC305EE" w14:textId="6EEA5426" w:rsidR="00900515" w:rsidRDefault="00900515">
          <w:pPr>
            <w:pStyle w:val="TOC2"/>
            <w:tabs>
              <w:tab w:val="right" w:leader="dot" w:pos="9350"/>
            </w:tabs>
            <w:rPr>
              <w:rFonts w:eastAsiaTheme="minorEastAsia"/>
              <w:noProof/>
            </w:rPr>
          </w:pPr>
          <w:hyperlink w:anchor="_Toc232415508" w:history="1">
            <w:r w:rsidRPr="00EB01F8">
              <w:rPr>
                <w:rStyle w:val="Hyperlink"/>
                <w:i/>
                <w:noProof/>
              </w:rPr>
              <w:t>5.2 Initial Enrollment – Students</w:t>
            </w:r>
            <w:r>
              <w:rPr>
                <w:noProof/>
                <w:webHidden/>
              </w:rPr>
              <w:tab/>
            </w:r>
            <w:r>
              <w:rPr>
                <w:noProof/>
                <w:webHidden/>
              </w:rPr>
              <w:fldChar w:fldCharType="begin"/>
            </w:r>
            <w:r>
              <w:rPr>
                <w:noProof/>
                <w:webHidden/>
              </w:rPr>
              <w:instrText xml:space="preserve"> PAGEREF _Toc232415508 \h </w:instrText>
            </w:r>
            <w:r>
              <w:rPr>
                <w:noProof/>
                <w:webHidden/>
              </w:rPr>
            </w:r>
            <w:r>
              <w:rPr>
                <w:noProof/>
                <w:webHidden/>
              </w:rPr>
              <w:fldChar w:fldCharType="separate"/>
            </w:r>
            <w:r>
              <w:rPr>
                <w:noProof/>
                <w:webHidden/>
              </w:rPr>
              <w:t>13</w:t>
            </w:r>
            <w:r>
              <w:rPr>
                <w:noProof/>
                <w:webHidden/>
              </w:rPr>
              <w:fldChar w:fldCharType="end"/>
            </w:r>
          </w:hyperlink>
        </w:p>
        <w:p w14:paraId="6DC77AC3" w14:textId="28D05233" w:rsidR="00900515" w:rsidRDefault="00900515">
          <w:pPr>
            <w:pStyle w:val="TOC2"/>
            <w:tabs>
              <w:tab w:val="right" w:leader="dot" w:pos="9350"/>
            </w:tabs>
            <w:rPr>
              <w:rFonts w:eastAsiaTheme="minorEastAsia"/>
              <w:noProof/>
            </w:rPr>
          </w:pPr>
          <w:hyperlink w:anchor="_Toc232415509" w:history="1">
            <w:r w:rsidRPr="00EB01F8">
              <w:rPr>
                <w:rStyle w:val="Hyperlink"/>
                <w:i/>
                <w:noProof/>
              </w:rPr>
              <w:t>5.3 Initial Enrollment – Visiting Students</w:t>
            </w:r>
            <w:r>
              <w:rPr>
                <w:noProof/>
                <w:webHidden/>
              </w:rPr>
              <w:tab/>
            </w:r>
            <w:r>
              <w:rPr>
                <w:noProof/>
                <w:webHidden/>
              </w:rPr>
              <w:fldChar w:fldCharType="begin"/>
            </w:r>
            <w:r>
              <w:rPr>
                <w:noProof/>
                <w:webHidden/>
              </w:rPr>
              <w:instrText xml:space="preserve"> PAGEREF _Toc232415509 \h </w:instrText>
            </w:r>
            <w:r>
              <w:rPr>
                <w:noProof/>
                <w:webHidden/>
              </w:rPr>
            </w:r>
            <w:r>
              <w:rPr>
                <w:noProof/>
                <w:webHidden/>
              </w:rPr>
              <w:fldChar w:fldCharType="separate"/>
            </w:r>
            <w:r>
              <w:rPr>
                <w:noProof/>
                <w:webHidden/>
              </w:rPr>
              <w:t>13</w:t>
            </w:r>
            <w:r>
              <w:rPr>
                <w:noProof/>
                <w:webHidden/>
              </w:rPr>
              <w:fldChar w:fldCharType="end"/>
            </w:r>
          </w:hyperlink>
        </w:p>
        <w:p w14:paraId="18BD7C0F" w14:textId="2E979248" w:rsidR="00900515" w:rsidRDefault="00900515">
          <w:pPr>
            <w:pStyle w:val="TOC2"/>
            <w:tabs>
              <w:tab w:val="right" w:leader="dot" w:pos="9350"/>
            </w:tabs>
            <w:rPr>
              <w:rFonts w:eastAsiaTheme="minorEastAsia"/>
              <w:noProof/>
            </w:rPr>
          </w:pPr>
          <w:hyperlink w:anchor="_Toc232415510" w:history="1">
            <w:r w:rsidRPr="00EB01F8">
              <w:rPr>
                <w:rStyle w:val="Hyperlink"/>
                <w:i/>
                <w:noProof/>
              </w:rPr>
              <w:t>5.4 Initial Enrollment – Other Eligible Individuals</w:t>
            </w:r>
            <w:r>
              <w:rPr>
                <w:noProof/>
                <w:webHidden/>
              </w:rPr>
              <w:tab/>
            </w:r>
            <w:r>
              <w:rPr>
                <w:noProof/>
                <w:webHidden/>
              </w:rPr>
              <w:fldChar w:fldCharType="begin"/>
            </w:r>
            <w:r>
              <w:rPr>
                <w:noProof/>
                <w:webHidden/>
              </w:rPr>
              <w:instrText xml:space="preserve"> PAGEREF _Toc232415510 \h </w:instrText>
            </w:r>
            <w:r>
              <w:rPr>
                <w:noProof/>
                <w:webHidden/>
              </w:rPr>
            </w:r>
            <w:r>
              <w:rPr>
                <w:noProof/>
                <w:webHidden/>
              </w:rPr>
              <w:fldChar w:fldCharType="separate"/>
            </w:r>
            <w:r>
              <w:rPr>
                <w:noProof/>
                <w:webHidden/>
              </w:rPr>
              <w:t>13</w:t>
            </w:r>
            <w:r>
              <w:rPr>
                <w:noProof/>
                <w:webHidden/>
              </w:rPr>
              <w:fldChar w:fldCharType="end"/>
            </w:r>
          </w:hyperlink>
        </w:p>
        <w:p w14:paraId="384D109C" w14:textId="4233A35F" w:rsidR="00900515" w:rsidRDefault="00900515">
          <w:pPr>
            <w:pStyle w:val="TOC2"/>
            <w:tabs>
              <w:tab w:val="right" w:leader="dot" w:pos="9350"/>
            </w:tabs>
            <w:rPr>
              <w:rFonts w:eastAsiaTheme="minorEastAsia"/>
              <w:noProof/>
            </w:rPr>
          </w:pPr>
          <w:hyperlink w:anchor="_Toc232415511" w:history="1">
            <w:r w:rsidRPr="00EB01F8">
              <w:rPr>
                <w:rStyle w:val="Hyperlink"/>
                <w:i/>
                <w:noProof/>
              </w:rPr>
              <w:t>5.5 Renewals</w:t>
            </w:r>
            <w:r>
              <w:rPr>
                <w:noProof/>
                <w:webHidden/>
              </w:rPr>
              <w:tab/>
            </w:r>
            <w:r>
              <w:rPr>
                <w:noProof/>
                <w:webHidden/>
              </w:rPr>
              <w:fldChar w:fldCharType="begin"/>
            </w:r>
            <w:r>
              <w:rPr>
                <w:noProof/>
                <w:webHidden/>
              </w:rPr>
              <w:instrText xml:space="preserve"> PAGEREF _Toc232415511 \h </w:instrText>
            </w:r>
            <w:r>
              <w:rPr>
                <w:noProof/>
                <w:webHidden/>
              </w:rPr>
            </w:r>
            <w:r>
              <w:rPr>
                <w:noProof/>
                <w:webHidden/>
              </w:rPr>
              <w:fldChar w:fldCharType="separate"/>
            </w:r>
            <w:r>
              <w:rPr>
                <w:noProof/>
                <w:webHidden/>
              </w:rPr>
              <w:t>14</w:t>
            </w:r>
            <w:r>
              <w:rPr>
                <w:noProof/>
                <w:webHidden/>
              </w:rPr>
              <w:fldChar w:fldCharType="end"/>
            </w:r>
          </w:hyperlink>
        </w:p>
        <w:p w14:paraId="7F82FD3F" w14:textId="71E0A7EC" w:rsidR="00900515" w:rsidRDefault="00900515">
          <w:pPr>
            <w:pStyle w:val="TOC1"/>
            <w:tabs>
              <w:tab w:val="right" w:leader="dot" w:pos="9350"/>
            </w:tabs>
            <w:rPr>
              <w:rFonts w:eastAsiaTheme="minorEastAsia"/>
              <w:noProof/>
            </w:rPr>
          </w:pPr>
          <w:hyperlink w:anchor="_Toc232415512" w:history="1">
            <w:r w:rsidRPr="00EB01F8">
              <w:rPr>
                <w:rStyle w:val="Hyperlink"/>
                <w:b/>
                <w:noProof/>
              </w:rPr>
              <w:t>6.0 Waivers</w:t>
            </w:r>
            <w:r>
              <w:rPr>
                <w:noProof/>
                <w:webHidden/>
              </w:rPr>
              <w:tab/>
            </w:r>
            <w:r>
              <w:rPr>
                <w:noProof/>
                <w:webHidden/>
              </w:rPr>
              <w:fldChar w:fldCharType="begin"/>
            </w:r>
            <w:r>
              <w:rPr>
                <w:noProof/>
                <w:webHidden/>
              </w:rPr>
              <w:instrText xml:space="preserve"> PAGEREF _Toc232415512 \h </w:instrText>
            </w:r>
            <w:r>
              <w:rPr>
                <w:noProof/>
                <w:webHidden/>
              </w:rPr>
            </w:r>
            <w:r>
              <w:rPr>
                <w:noProof/>
                <w:webHidden/>
              </w:rPr>
              <w:fldChar w:fldCharType="separate"/>
            </w:r>
            <w:r>
              <w:rPr>
                <w:noProof/>
                <w:webHidden/>
              </w:rPr>
              <w:t>15</w:t>
            </w:r>
            <w:r>
              <w:rPr>
                <w:noProof/>
                <w:webHidden/>
              </w:rPr>
              <w:fldChar w:fldCharType="end"/>
            </w:r>
          </w:hyperlink>
        </w:p>
        <w:p w14:paraId="5F3A4C27" w14:textId="5F114CE9" w:rsidR="00900515" w:rsidRDefault="00900515">
          <w:pPr>
            <w:pStyle w:val="TOC2"/>
            <w:tabs>
              <w:tab w:val="right" w:leader="dot" w:pos="9350"/>
            </w:tabs>
            <w:rPr>
              <w:rFonts w:eastAsiaTheme="minorEastAsia"/>
              <w:noProof/>
            </w:rPr>
          </w:pPr>
          <w:hyperlink w:anchor="_Toc232415513" w:history="1">
            <w:r w:rsidRPr="00EB01F8">
              <w:rPr>
                <w:rStyle w:val="Hyperlink"/>
                <w:i/>
                <w:noProof/>
              </w:rPr>
              <w:t>6.1 Comparable Coverage</w:t>
            </w:r>
            <w:r>
              <w:rPr>
                <w:noProof/>
                <w:webHidden/>
              </w:rPr>
              <w:tab/>
            </w:r>
            <w:r>
              <w:rPr>
                <w:noProof/>
                <w:webHidden/>
              </w:rPr>
              <w:fldChar w:fldCharType="begin"/>
            </w:r>
            <w:r>
              <w:rPr>
                <w:noProof/>
                <w:webHidden/>
              </w:rPr>
              <w:instrText xml:space="preserve"> PAGEREF _Toc232415513 \h </w:instrText>
            </w:r>
            <w:r>
              <w:rPr>
                <w:noProof/>
                <w:webHidden/>
              </w:rPr>
            </w:r>
            <w:r>
              <w:rPr>
                <w:noProof/>
                <w:webHidden/>
              </w:rPr>
              <w:fldChar w:fldCharType="separate"/>
            </w:r>
            <w:r>
              <w:rPr>
                <w:noProof/>
                <w:webHidden/>
              </w:rPr>
              <w:t>15</w:t>
            </w:r>
            <w:r>
              <w:rPr>
                <w:noProof/>
                <w:webHidden/>
              </w:rPr>
              <w:fldChar w:fldCharType="end"/>
            </w:r>
          </w:hyperlink>
        </w:p>
        <w:p w14:paraId="5A884E28" w14:textId="28023DF8" w:rsidR="00900515" w:rsidRDefault="00900515">
          <w:pPr>
            <w:pStyle w:val="TOC2"/>
            <w:tabs>
              <w:tab w:val="right" w:leader="dot" w:pos="9350"/>
            </w:tabs>
            <w:rPr>
              <w:rFonts w:eastAsiaTheme="minorEastAsia"/>
              <w:noProof/>
            </w:rPr>
          </w:pPr>
          <w:hyperlink w:anchor="_Toc232415514" w:history="1">
            <w:r w:rsidRPr="00EB01F8">
              <w:rPr>
                <w:rStyle w:val="Hyperlink"/>
                <w:i/>
                <w:noProof/>
              </w:rPr>
              <w:t>6.2 Waiver Process</w:t>
            </w:r>
            <w:r>
              <w:rPr>
                <w:noProof/>
                <w:webHidden/>
              </w:rPr>
              <w:tab/>
            </w:r>
            <w:r>
              <w:rPr>
                <w:noProof/>
                <w:webHidden/>
              </w:rPr>
              <w:fldChar w:fldCharType="begin"/>
            </w:r>
            <w:r>
              <w:rPr>
                <w:noProof/>
                <w:webHidden/>
              </w:rPr>
              <w:instrText xml:space="preserve"> PAGEREF _Toc232415514 \h </w:instrText>
            </w:r>
            <w:r>
              <w:rPr>
                <w:noProof/>
                <w:webHidden/>
              </w:rPr>
            </w:r>
            <w:r>
              <w:rPr>
                <w:noProof/>
                <w:webHidden/>
              </w:rPr>
              <w:fldChar w:fldCharType="separate"/>
            </w:r>
            <w:r>
              <w:rPr>
                <w:noProof/>
                <w:webHidden/>
              </w:rPr>
              <w:t>15</w:t>
            </w:r>
            <w:r>
              <w:rPr>
                <w:noProof/>
                <w:webHidden/>
              </w:rPr>
              <w:fldChar w:fldCharType="end"/>
            </w:r>
          </w:hyperlink>
        </w:p>
        <w:p w14:paraId="3A2B3424" w14:textId="60733EFC" w:rsidR="00900515" w:rsidRDefault="00900515">
          <w:pPr>
            <w:pStyle w:val="TOC1"/>
            <w:tabs>
              <w:tab w:val="right" w:leader="dot" w:pos="9350"/>
            </w:tabs>
            <w:rPr>
              <w:rFonts w:eastAsiaTheme="minorEastAsia"/>
              <w:noProof/>
            </w:rPr>
          </w:pPr>
          <w:hyperlink w:anchor="_Toc232415515" w:history="1">
            <w:r w:rsidRPr="00EB01F8">
              <w:rPr>
                <w:rStyle w:val="Hyperlink"/>
                <w:b/>
                <w:noProof/>
              </w:rPr>
              <w:t>7.0 Changes in Coverage</w:t>
            </w:r>
            <w:r>
              <w:rPr>
                <w:noProof/>
                <w:webHidden/>
              </w:rPr>
              <w:tab/>
            </w:r>
            <w:r>
              <w:rPr>
                <w:noProof/>
                <w:webHidden/>
              </w:rPr>
              <w:fldChar w:fldCharType="begin"/>
            </w:r>
            <w:r>
              <w:rPr>
                <w:noProof/>
                <w:webHidden/>
              </w:rPr>
              <w:instrText xml:space="preserve"> PAGEREF _Toc232415515 \h </w:instrText>
            </w:r>
            <w:r>
              <w:rPr>
                <w:noProof/>
                <w:webHidden/>
              </w:rPr>
            </w:r>
            <w:r>
              <w:rPr>
                <w:noProof/>
                <w:webHidden/>
              </w:rPr>
              <w:fldChar w:fldCharType="separate"/>
            </w:r>
            <w:r>
              <w:rPr>
                <w:noProof/>
                <w:webHidden/>
              </w:rPr>
              <w:t>17</w:t>
            </w:r>
            <w:r>
              <w:rPr>
                <w:noProof/>
                <w:webHidden/>
              </w:rPr>
              <w:fldChar w:fldCharType="end"/>
            </w:r>
          </w:hyperlink>
        </w:p>
        <w:p w14:paraId="267C1A3A" w14:textId="2E7A7931" w:rsidR="00900515" w:rsidRDefault="00900515">
          <w:pPr>
            <w:pStyle w:val="TOC2"/>
            <w:tabs>
              <w:tab w:val="right" w:leader="dot" w:pos="9350"/>
            </w:tabs>
            <w:rPr>
              <w:rFonts w:eastAsiaTheme="minorEastAsia"/>
              <w:noProof/>
            </w:rPr>
          </w:pPr>
          <w:hyperlink w:anchor="_Toc232415516" w:history="1">
            <w:r w:rsidRPr="00EB01F8">
              <w:rPr>
                <w:rStyle w:val="Hyperlink"/>
                <w:i/>
                <w:noProof/>
              </w:rPr>
              <w:t>7.1 Open Enrollment Periods</w:t>
            </w:r>
            <w:r>
              <w:rPr>
                <w:noProof/>
                <w:webHidden/>
              </w:rPr>
              <w:tab/>
            </w:r>
            <w:r>
              <w:rPr>
                <w:noProof/>
                <w:webHidden/>
              </w:rPr>
              <w:fldChar w:fldCharType="begin"/>
            </w:r>
            <w:r>
              <w:rPr>
                <w:noProof/>
                <w:webHidden/>
              </w:rPr>
              <w:instrText xml:space="preserve"> PAGEREF _Toc232415516 \h </w:instrText>
            </w:r>
            <w:r>
              <w:rPr>
                <w:noProof/>
                <w:webHidden/>
              </w:rPr>
            </w:r>
            <w:r>
              <w:rPr>
                <w:noProof/>
                <w:webHidden/>
              </w:rPr>
              <w:fldChar w:fldCharType="separate"/>
            </w:r>
            <w:r>
              <w:rPr>
                <w:noProof/>
                <w:webHidden/>
              </w:rPr>
              <w:t>17</w:t>
            </w:r>
            <w:r>
              <w:rPr>
                <w:noProof/>
                <w:webHidden/>
              </w:rPr>
              <w:fldChar w:fldCharType="end"/>
            </w:r>
          </w:hyperlink>
        </w:p>
        <w:p w14:paraId="0206F20D" w14:textId="32DD06C8" w:rsidR="00900515" w:rsidRDefault="00900515">
          <w:pPr>
            <w:pStyle w:val="TOC2"/>
            <w:tabs>
              <w:tab w:val="right" w:leader="dot" w:pos="9350"/>
            </w:tabs>
            <w:rPr>
              <w:rFonts w:eastAsiaTheme="minorEastAsia"/>
              <w:noProof/>
            </w:rPr>
          </w:pPr>
          <w:hyperlink w:anchor="_Toc232415517" w:history="1">
            <w:r w:rsidRPr="00EB01F8">
              <w:rPr>
                <w:rStyle w:val="Hyperlink"/>
                <w:i/>
                <w:noProof/>
              </w:rPr>
              <w:t>7.2 Qualifying events</w:t>
            </w:r>
            <w:r>
              <w:rPr>
                <w:noProof/>
                <w:webHidden/>
              </w:rPr>
              <w:tab/>
            </w:r>
            <w:r>
              <w:rPr>
                <w:noProof/>
                <w:webHidden/>
              </w:rPr>
              <w:fldChar w:fldCharType="begin"/>
            </w:r>
            <w:r>
              <w:rPr>
                <w:noProof/>
                <w:webHidden/>
              </w:rPr>
              <w:instrText xml:space="preserve"> PAGEREF _Toc232415517 \h </w:instrText>
            </w:r>
            <w:r>
              <w:rPr>
                <w:noProof/>
                <w:webHidden/>
              </w:rPr>
            </w:r>
            <w:r>
              <w:rPr>
                <w:noProof/>
                <w:webHidden/>
              </w:rPr>
              <w:fldChar w:fldCharType="separate"/>
            </w:r>
            <w:r>
              <w:rPr>
                <w:noProof/>
                <w:webHidden/>
              </w:rPr>
              <w:t>17</w:t>
            </w:r>
            <w:r>
              <w:rPr>
                <w:noProof/>
                <w:webHidden/>
              </w:rPr>
              <w:fldChar w:fldCharType="end"/>
            </w:r>
          </w:hyperlink>
        </w:p>
        <w:p w14:paraId="5F807B11" w14:textId="20F2E297" w:rsidR="00900515" w:rsidRDefault="00900515">
          <w:pPr>
            <w:pStyle w:val="TOC2"/>
            <w:tabs>
              <w:tab w:val="right" w:leader="dot" w:pos="9350"/>
            </w:tabs>
            <w:rPr>
              <w:rFonts w:eastAsiaTheme="minorEastAsia"/>
              <w:noProof/>
            </w:rPr>
          </w:pPr>
          <w:hyperlink w:anchor="_Toc232415518" w:history="1">
            <w:r w:rsidRPr="00EB01F8">
              <w:rPr>
                <w:rStyle w:val="Hyperlink"/>
                <w:i/>
                <w:noProof/>
              </w:rPr>
              <w:t>7.3 Voluntary Cancelation of Coverage</w:t>
            </w:r>
            <w:r>
              <w:rPr>
                <w:noProof/>
                <w:webHidden/>
              </w:rPr>
              <w:tab/>
            </w:r>
            <w:r>
              <w:rPr>
                <w:noProof/>
                <w:webHidden/>
              </w:rPr>
              <w:fldChar w:fldCharType="begin"/>
            </w:r>
            <w:r>
              <w:rPr>
                <w:noProof/>
                <w:webHidden/>
              </w:rPr>
              <w:instrText xml:space="preserve"> PAGEREF _Toc232415518 \h </w:instrText>
            </w:r>
            <w:r>
              <w:rPr>
                <w:noProof/>
                <w:webHidden/>
              </w:rPr>
            </w:r>
            <w:r>
              <w:rPr>
                <w:noProof/>
                <w:webHidden/>
              </w:rPr>
              <w:fldChar w:fldCharType="separate"/>
            </w:r>
            <w:r>
              <w:rPr>
                <w:noProof/>
                <w:webHidden/>
              </w:rPr>
              <w:t>18</w:t>
            </w:r>
            <w:r>
              <w:rPr>
                <w:noProof/>
                <w:webHidden/>
              </w:rPr>
              <w:fldChar w:fldCharType="end"/>
            </w:r>
          </w:hyperlink>
        </w:p>
        <w:p w14:paraId="5EFE2AAB" w14:textId="023A23AD" w:rsidR="00900515" w:rsidRDefault="00900515">
          <w:pPr>
            <w:pStyle w:val="TOC2"/>
            <w:tabs>
              <w:tab w:val="right" w:leader="dot" w:pos="9350"/>
            </w:tabs>
            <w:rPr>
              <w:rFonts w:eastAsiaTheme="minorEastAsia"/>
              <w:noProof/>
            </w:rPr>
          </w:pPr>
          <w:hyperlink w:anchor="_Toc232415519" w:history="1">
            <w:r w:rsidRPr="00EB01F8">
              <w:rPr>
                <w:rStyle w:val="Hyperlink"/>
                <w:i/>
                <w:noProof/>
              </w:rPr>
              <w:t>7.4 Termination of Coverage for Loss of Eligibility – Students</w:t>
            </w:r>
            <w:r>
              <w:rPr>
                <w:noProof/>
                <w:webHidden/>
              </w:rPr>
              <w:tab/>
            </w:r>
            <w:r>
              <w:rPr>
                <w:noProof/>
                <w:webHidden/>
              </w:rPr>
              <w:fldChar w:fldCharType="begin"/>
            </w:r>
            <w:r>
              <w:rPr>
                <w:noProof/>
                <w:webHidden/>
              </w:rPr>
              <w:instrText xml:space="preserve"> PAGEREF _Toc232415519 \h </w:instrText>
            </w:r>
            <w:r>
              <w:rPr>
                <w:noProof/>
                <w:webHidden/>
              </w:rPr>
            </w:r>
            <w:r>
              <w:rPr>
                <w:noProof/>
                <w:webHidden/>
              </w:rPr>
              <w:fldChar w:fldCharType="separate"/>
            </w:r>
            <w:r>
              <w:rPr>
                <w:noProof/>
                <w:webHidden/>
              </w:rPr>
              <w:t>19</w:t>
            </w:r>
            <w:r>
              <w:rPr>
                <w:noProof/>
                <w:webHidden/>
              </w:rPr>
              <w:fldChar w:fldCharType="end"/>
            </w:r>
          </w:hyperlink>
        </w:p>
        <w:p w14:paraId="57B7DDC0" w14:textId="3DBAC742" w:rsidR="00900515" w:rsidRDefault="00900515">
          <w:pPr>
            <w:pStyle w:val="TOC2"/>
            <w:tabs>
              <w:tab w:val="right" w:leader="dot" w:pos="9350"/>
            </w:tabs>
            <w:rPr>
              <w:rFonts w:eastAsiaTheme="minorEastAsia"/>
              <w:noProof/>
            </w:rPr>
          </w:pPr>
          <w:hyperlink w:anchor="_Toc232415520" w:history="1">
            <w:r w:rsidRPr="00EB01F8">
              <w:rPr>
                <w:rStyle w:val="Hyperlink"/>
                <w:i/>
                <w:noProof/>
              </w:rPr>
              <w:t>7.5 Termination of Coverage for Loss of Eligibility – Visiting Students</w:t>
            </w:r>
            <w:r>
              <w:rPr>
                <w:noProof/>
                <w:webHidden/>
              </w:rPr>
              <w:tab/>
            </w:r>
            <w:r>
              <w:rPr>
                <w:noProof/>
                <w:webHidden/>
              </w:rPr>
              <w:fldChar w:fldCharType="begin"/>
            </w:r>
            <w:r>
              <w:rPr>
                <w:noProof/>
                <w:webHidden/>
              </w:rPr>
              <w:instrText xml:space="preserve"> PAGEREF _Toc232415520 \h </w:instrText>
            </w:r>
            <w:r>
              <w:rPr>
                <w:noProof/>
                <w:webHidden/>
              </w:rPr>
            </w:r>
            <w:r>
              <w:rPr>
                <w:noProof/>
                <w:webHidden/>
              </w:rPr>
              <w:fldChar w:fldCharType="separate"/>
            </w:r>
            <w:r>
              <w:rPr>
                <w:noProof/>
                <w:webHidden/>
              </w:rPr>
              <w:t>19</w:t>
            </w:r>
            <w:r>
              <w:rPr>
                <w:noProof/>
                <w:webHidden/>
              </w:rPr>
              <w:fldChar w:fldCharType="end"/>
            </w:r>
          </w:hyperlink>
        </w:p>
        <w:p w14:paraId="43C303B7" w14:textId="034A5688" w:rsidR="00900515" w:rsidRDefault="00900515">
          <w:pPr>
            <w:pStyle w:val="TOC2"/>
            <w:tabs>
              <w:tab w:val="right" w:leader="dot" w:pos="9350"/>
            </w:tabs>
            <w:rPr>
              <w:rFonts w:eastAsiaTheme="minorEastAsia"/>
              <w:noProof/>
            </w:rPr>
          </w:pPr>
          <w:hyperlink w:anchor="_Toc232415521" w:history="1">
            <w:r w:rsidRPr="00EB01F8">
              <w:rPr>
                <w:rStyle w:val="Hyperlink"/>
                <w:i/>
                <w:noProof/>
              </w:rPr>
              <w:t>7.6 Termination of Coverage for Loss of Eligibility – Other Eligible Individuals</w:t>
            </w:r>
            <w:r>
              <w:rPr>
                <w:noProof/>
                <w:webHidden/>
              </w:rPr>
              <w:tab/>
            </w:r>
            <w:r>
              <w:rPr>
                <w:noProof/>
                <w:webHidden/>
              </w:rPr>
              <w:fldChar w:fldCharType="begin"/>
            </w:r>
            <w:r>
              <w:rPr>
                <w:noProof/>
                <w:webHidden/>
              </w:rPr>
              <w:instrText xml:space="preserve"> PAGEREF _Toc232415521 \h </w:instrText>
            </w:r>
            <w:r>
              <w:rPr>
                <w:noProof/>
                <w:webHidden/>
              </w:rPr>
            </w:r>
            <w:r>
              <w:rPr>
                <w:noProof/>
                <w:webHidden/>
              </w:rPr>
              <w:fldChar w:fldCharType="separate"/>
            </w:r>
            <w:r>
              <w:rPr>
                <w:noProof/>
                <w:webHidden/>
              </w:rPr>
              <w:t>19</w:t>
            </w:r>
            <w:r>
              <w:rPr>
                <w:noProof/>
                <w:webHidden/>
              </w:rPr>
              <w:fldChar w:fldCharType="end"/>
            </w:r>
          </w:hyperlink>
        </w:p>
        <w:p w14:paraId="2B724BB7" w14:textId="75E20676" w:rsidR="00900515" w:rsidRDefault="00900515">
          <w:pPr>
            <w:pStyle w:val="TOC1"/>
            <w:tabs>
              <w:tab w:val="right" w:leader="dot" w:pos="9350"/>
            </w:tabs>
            <w:rPr>
              <w:rFonts w:eastAsiaTheme="minorEastAsia"/>
              <w:noProof/>
            </w:rPr>
          </w:pPr>
          <w:hyperlink w:anchor="_Toc232415522" w:history="1">
            <w:r w:rsidRPr="00EB01F8">
              <w:rPr>
                <w:rStyle w:val="Hyperlink"/>
                <w:b/>
                <w:noProof/>
              </w:rPr>
              <w:t>8.0 Billing and Payment</w:t>
            </w:r>
            <w:r>
              <w:rPr>
                <w:noProof/>
                <w:webHidden/>
              </w:rPr>
              <w:tab/>
            </w:r>
            <w:r>
              <w:rPr>
                <w:noProof/>
                <w:webHidden/>
              </w:rPr>
              <w:fldChar w:fldCharType="begin"/>
            </w:r>
            <w:r>
              <w:rPr>
                <w:noProof/>
                <w:webHidden/>
              </w:rPr>
              <w:instrText xml:space="preserve"> PAGEREF _Toc232415522 \h </w:instrText>
            </w:r>
            <w:r>
              <w:rPr>
                <w:noProof/>
                <w:webHidden/>
              </w:rPr>
            </w:r>
            <w:r>
              <w:rPr>
                <w:noProof/>
                <w:webHidden/>
              </w:rPr>
              <w:fldChar w:fldCharType="separate"/>
            </w:r>
            <w:r>
              <w:rPr>
                <w:noProof/>
                <w:webHidden/>
              </w:rPr>
              <w:t>20</w:t>
            </w:r>
            <w:r>
              <w:rPr>
                <w:noProof/>
                <w:webHidden/>
              </w:rPr>
              <w:fldChar w:fldCharType="end"/>
            </w:r>
          </w:hyperlink>
        </w:p>
        <w:p w14:paraId="5ACF62DA" w14:textId="0263B73D" w:rsidR="00900515" w:rsidRDefault="00900515">
          <w:pPr>
            <w:pStyle w:val="TOC2"/>
            <w:tabs>
              <w:tab w:val="right" w:leader="dot" w:pos="9350"/>
            </w:tabs>
            <w:rPr>
              <w:rFonts w:eastAsiaTheme="minorEastAsia"/>
              <w:noProof/>
            </w:rPr>
          </w:pPr>
          <w:hyperlink w:anchor="_Toc232415523" w:history="1">
            <w:r w:rsidRPr="00EB01F8">
              <w:rPr>
                <w:rStyle w:val="Hyperlink"/>
                <w:i/>
                <w:noProof/>
              </w:rPr>
              <w:t>8.1 MITPay Billing – Students</w:t>
            </w:r>
            <w:r>
              <w:rPr>
                <w:noProof/>
                <w:webHidden/>
              </w:rPr>
              <w:tab/>
            </w:r>
            <w:r>
              <w:rPr>
                <w:noProof/>
                <w:webHidden/>
              </w:rPr>
              <w:fldChar w:fldCharType="begin"/>
            </w:r>
            <w:r>
              <w:rPr>
                <w:noProof/>
                <w:webHidden/>
              </w:rPr>
              <w:instrText xml:space="preserve"> PAGEREF _Toc232415523 \h </w:instrText>
            </w:r>
            <w:r>
              <w:rPr>
                <w:noProof/>
                <w:webHidden/>
              </w:rPr>
            </w:r>
            <w:r>
              <w:rPr>
                <w:noProof/>
                <w:webHidden/>
              </w:rPr>
              <w:fldChar w:fldCharType="separate"/>
            </w:r>
            <w:r>
              <w:rPr>
                <w:noProof/>
                <w:webHidden/>
              </w:rPr>
              <w:t>20</w:t>
            </w:r>
            <w:r>
              <w:rPr>
                <w:noProof/>
                <w:webHidden/>
              </w:rPr>
              <w:fldChar w:fldCharType="end"/>
            </w:r>
          </w:hyperlink>
        </w:p>
        <w:p w14:paraId="611027F3" w14:textId="1DB14740" w:rsidR="00900515" w:rsidRDefault="00900515">
          <w:pPr>
            <w:pStyle w:val="TOC2"/>
            <w:tabs>
              <w:tab w:val="right" w:leader="dot" w:pos="9350"/>
            </w:tabs>
            <w:rPr>
              <w:rFonts w:eastAsiaTheme="minorEastAsia"/>
              <w:noProof/>
            </w:rPr>
          </w:pPr>
          <w:hyperlink w:anchor="_Toc232415524" w:history="1">
            <w:r w:rsidRPr="00EB01F8">
              <w:rPr>
                <w:rStyle w:val="Hyperlink"/>
                <w:i/>
                <w:noProof/>
              </w:rPr>
              <w:t>8.2 Billing – Visiting Students</w:t>
            </w:r>
            <w:r>
              <w:rPr>
                <w:noProof/>
                <w:webHidden/>
              </w:rPr>
              <w:tab/>
            </w:r>
            <w:r>
              <w:rPr>
                <w:noProof/>
                <w:webHidden/>
              </w:rPr>
              <w:fldChar w:fldCharType="begin"/>
            </w:r>
            <w:r>
              <w:rPr>
                <w:noProof/>
                <w:webHidden/>
              </w:rPr>
              <w:instrText xml:space="preserve"> PAGEREF _Toc232415524 \h </w:instrText>
            </w:r>
            <w:r>
              <w:rPr>
                <w:noProof/>
                <w:webHidden/>
              </w:rPr>
            </w:r>
            <w:r>
              <w:rPr>
                <w:noProof/>
                <w:webHidden/>
              </w:rPr>
              <w:fldChar w:fldCharType="separate"/>
            </w:r>
            <w:r>
              <w:rPr>
                <w:noProof/>
                <w:webHidden/>
              </w:rPr>
              <w:t>20</w:t>
            </w:r>
            <w:r>
              <w:rPr>
                <w:noProof/>
                <w:webHidden/>
              </w:rPr>
              <w:fldChar w:fldCharType="end"/>
            </w:r>
          </w:hyperlink>
        </w:p>
        <w:p w14:paraId="43D97E8D" w14:textId="1BBD69AA" w:rsidR="00900515" w:rsidRDefault="00900515">
          <w:pPr>
            <w:pStyle w:val="TOC1"/>
            <w:tabs>
              <w:tab w:val="right" w:leader="dot" w:pos="9350"/>
            </w:tabs>
            <w:rPr>
              <w:rFonts w:eastAsiaTheme="minorEastAsia"/>
              <w:noProof/>
            </w:rPr>
          </w:pPr>
          <w:hyperlink w:anchor="_Toc232415525" w:history="1">
            <w:r w:rsidRPr="00EB01F8">
              <w:rPr>
                <w:rStyle w:val="Hyperlink"/>
                <w:b/>
                <w:noProof/>
              </w:rPr>
              <w:t>9.0 Care at MIT Health</w:t>
            </w:r>
            <w:r>
              <w:rPr>
                <w:noProof/>
                <w:webHidden/>
              </w:rPr>
              <w:tab/>
            </w:r>
            <w:r>
              <w:rPr>
                <w:noProof/>
                <w:webHidden/>
              </w:rPr>
              <w:fldChar w:fldCharType="begin"/>
            </w:r>
            <w:r>
              <w:rPr>
                <w:noProof/>
                <w:webHidden/>
              </w:rPr>
              <w:instrText xml:space="preserve"> PAGEREF _Toc232415525 \h </w:instrText>
            </w:r>
            <w:r>
              <w:rPr>
                <w:noProof/>
                <w:webHidden/>
              </w:rPr>
            </w:r>
            <w:r>
              <w:rPr>
                <w:noProof/>
                <w:webHidden/>
              </w:rPr>
              <w:fldChar w:fldCharType="separate"/>
            </w:r>
            <w:r>
              <w:rPr>
                <w:noProof/>
                <w:webHidden/>
              </w:rPr>
              <w:t>21</w:t>
            </w:r>
            <w:r>
              <w:rPr>
                <w:noProof/>
                <w:webHidden/>
              </w:rPr>
              <w:fldChar w:fldCharType="end"/>
            </w:r>
          </w:hyperlink>
        </w:p>
        <w:p w14:paraId="09D8C8EF" w14:textId="0132AE1D" w:rsidR="00900515" w:rsidRDefault="00900515">
          <w:pPr>
            <w:pStyle w:val="TOC2"/>
            <w:tabs>
              <w:tab w:val="right" w:leader="dot" w:pos="9350"/>
            </w:tabs>
            <w:rPr>
              <w:rFonts w:eastAsiaTheme="minorEastAsia"/>
              <w:noProof/>
            </w:rPr>
          </w:pPr>
          <w:hyperlink w:anchor="_Toc232415526" w:history="1">
            <w:r w:rsidRPr="00EB01F8">
              <w:rPr>
                <w:rStyle w:val="Hyperlink"/>
                <w:i/>
                <w:noProof/>
              </w:rPr>
              <w:t>9.1 Active Students</w:t>
            </w:r>
            <w:r>
              <w:rPr>
                <w:noProof/>
                <w:webHidden/>
              </w:rPr>
              <w:tab/>
            </w:r>
            <w:r>
              <w:rPr>
                <w:noProof/>
                <w:webHidden/>
              </w:rPr>
              <w:fldChar w:fldCharType="begin"/>
            </w:r>
            <w:r>
              <w:rPr>
                <w:noProof/>
                <w:webHidden/>
              </w:rPr>
              <w:instrText xml:space="preserve"> PAGEREF _Toc232415526 \h </w:instrText>
            </w:r>
            <w:r>
              <w:rPr>
                <w:noProof/>
                <w:webHidden/>
              </w:rPr>
            </w:r>
            <w:r>
              <w:rPr>
                <w:noProof/>
                <w:webHidden/>
              </w:rPr>
              <w:fldChar w:fldCharType="separate"/>
            </w:r>
            <w:r>
              <w:rPr>
                <w:noProof/>
                <w:webHidden/>
              </w:rPr>
              <w:t>21</w:t>
            </w:r>
            <w:r>
              <w:rPr>
                <w:noProof/>
                <w:webHidden/>
              </w:rPr>
              <w:fldChar w:fldCharType="end"/>
            </w:r>
          </w:hyperlink>
        </w:p>
        <w:p w14:paraId="5CA126E7" w14:textId="2CB4073A" w:rsidR="00900515" w:rsidRDefault="00900515">
          <w:pPr>
            <w:pStyle w:val="TOC2"/>
            <w:tabs>
              <w:tab w:val="right" w:leader="dot" w:pos="9350"/>
            </w:tabs>
            <w:rPr>
              <w:rFonts w:eastAsiaTheme="minorEastAsia"/>
              <w:noProof/>
            </w:rPr>
          </w:pPr>
          <w:hyperlink w:anchor="_Toc232415527" w:history="1">
            <w:r w:rsidRPr="00EB01F8">
              <w:rPr>
                <w:rStyle w:val="Hyperlink"/>
                <w:i/>
                <w:noProof/>
              </w:rPr>
              <w:t>9.2 Other Individuals Enrolled in the MIT Student Health Insurance Plan</w:t>
            </w:r>
            <w:r>
              <w:rPr>
                <w:noProof/>
                <w:webHidden/>
              </w:rPr>
              <w:tab/>
            </w:r>
            <w:r>
              <w:rPr>
                <w:noProof/>
                <w:webHidden/>
              </w:rPr>
              <w:fldChar w:fldCharType="begin"/>
            </w:r>
            <w:r>
              <w:rPr>
                <w:noProof/>
                <w:webHidden/>
              </w:rPr>
              <w:instrText xml:space="preserve"> PAGEREF _Toc232415527 \h </w:instrText>
            </w:r>
            <w:r>
              <w:rPr>
                <w:noProof/>
                <w:webHidden/>
              </w:rPr>
            </w:r>
            <w:r>
              <w:rPr>
                <w:noProof/>
                <w:webHidden/>
              </w:rPr>
              <w:fldChar w:fldCharType="separate"/>
            </w:r>
            <w:r>
              <w:rPr>
                <w:noProof/>
                <w:webHidden/>
              </w:rPr>
              <w:t>21</w:t>
            </w:r>
            <w:r>
              <w:rPr>
                <w:noProof/>
                <w:webHidden/>
              </w:rPr>
              <w:fldChar w:fldCharType="end"/>
            </w:r>
          </w:hyperlink>
        </w:p>
        <w:p w14:paraId="2D5E60F5" w14:textId="3E7645ED" w:rsidR="00900515" w:rsidRDefault="00900515">
          <w:pPr>
            <w:pStyle w:val="TOC2"/>
            <w:tabs>
              <w:tab w:val="right" w:leader="dot" w:pos="9350"/>
            </w:tabs>
            <w:rPr>
              <w:rFonts w:eastAsiaTheme="minorEastAsia"/>
              <w:noProof/>
            </w:rPr>
          </w:pPr>
          <w:hyperlink w:anchor="_Toc232415528" w:history="1">
            <w:r w:rsidRPr="00EB01F8">
              <w:rPr>
                <w:rStyle w:val="Hyperlink"/>
                <w:i/>
                <w:noProof/>
              </w:rPr>
              <w:t>9.3 Exclusions</w:t>
            </w:r>
            <w:r>
              <w:rPr>
                <w:noProof/>
                <w:webHidden/>
              </w:rPr>
              <w:tab/>
            </w:r>
            <w:r>
              <w:rPr>
                <w:noProof/>
                <w:webHidden/>
              </w:rPr>
              <w:fldChar w:fldCharType="begin"/>
            </w:r>
            <w:r>
              <w:rPr>
                <w:noProof/>
                <w:webHidden/>
              </w:rPr>
              <w:instrText xml:space="preserve"> PAGEREF _Toc232415528 \h </w:instrText>
            </w:r>
            <w:r>
              <w:rPr>
                <w:noProof/>
                <w:webHidden/>
              </w:rPr>
            </w:r>
            <w:r>
              <w:rPr>
                <w:noProof/>
                <w:webHidden/>
              </w:rPr>
              <w:fldChar w:fldCharType="separate"/>
            </w:r>
            <w:r>
              <w:rPr>
                <w:noProof/>
                <w:webHidden/>
              </w:rPr>
              <w:t>21</w:t>
            </w:r>
            <w:r>
              <w:rPr>
                <w:noProof/>
                <w:webHidden/>
              </w:rPr>
              <w:fldChar w:fldCharType="end"/>
            </w:r>
          </w:hyperlink>
        </w:p>
        <w:p w14:paraId="27AA0974" w14:textId="1BF9914E" w:rsidR="00053AAE" w:rsidRPr="0090051E" w:rsidRDefault="00053AAE" w:rsidP="00D70042">
          <w:r w:rsidRPr="0090051E">
            <w:rPr>
              <w:b/>
              <w:bCs/>
              <w:noProof/>
            </w:rPr>
            <w:fldChar w:fldCharType="end"/>
          </w:r>
        </w:p>
      </w:sdtContent>
    </w:sdt>
    <w:p w14:paraId="41397A9C" w14:textId="77777777" w:rsidR="00D4409F" w:rsidRPr="0090051E" w:rsidRDefault="00D4409F" w:rsidP="00D70042">
      <w:pPr>
        <w:rPr>
          <w:b/>
        </w:rPr>
        <w:sectPr w:rsidR="00D4409F" w:rsidRPr="0090051E" w:rsidSect="00BA68BD">
          <w:headerReference w:type="even" r:id="rId9"/>
          <w:headerReference w:type="default" r:id="rId10"/>
          <w:headerReference w:type="first" r:id="rId11"/>
          <w:pgSz w:w="12240" w:h="15840"/>
          <w:pgMar w:top="1440" w:right="1440" w:bottom="1440" w:left="1440" w:header="720" w:footer="720" w:gutter="0"/>
          <w:cols w:space="720"/>
          <w:docGrid w:linePitch="360"/>
        </w:sectPr>
      </w:pPr>
    </w:p>
    <w:p w14:paraId="552199D9" w14:textId="77777777" w:rsidR="00633779" w:rsidRPr="0090051E" w:rsidRDefault="00EB1BCD" w:rsidP="00D70042">
      <w:pPr>
        <w:pStyle w:val="Heading1"/>
        <w:spacing w:before="0" w:after="240"/>
        <w:rPr>
          <w:b/>
          <w:color w:val="C00000"/>
        </w:rPr>
      </w:pPr>
      <w:bookmarkStart w:id="0" w:name="_1.0_Students"/>
      <w:bookmarkStart w:id="1" w:name="_Toc232415474"/>
      <w:bookmarkEnd w:id="0"/>
      <w:r w:rsidRPr="0090051E">
        <w:rPr>
          <w:b/>
          <w:color w:val="C00000"/>
        </w:rPr>
        <w:lastRenderedPageBreak/>
        <w:t>1.0 Students</w:t>
      </w:r>
      <w:bookmarkEnd w:id="1"/>
    </w:p>
    <w:p w14:paraId="0517F83F" w14:textId="77777777" w:rsidR="008643BD" w:rsidRPr="0090051E" w:rsidRDefault="00EC794A" w:rsidP="00D70042">
      <w:pPr>
        <w:pStyle w:val="Heading2"/>
        <w:spacing w:before="0" w:after="120"/>
        <w:rPr>
          <w:i/>
          <w:color w:val="auto"/>
        </w:rPr>
      </w:pPr>
      <w:bookmarkStart w:id="2" w:name="_Toc232415475"/>
      <w:r w:rsidRPr="0090051E">
        <w:rPr>
          <w:i/>
          <w:color w:val="auto"/>
        </w:rPr>
        <w:t>1.1 Undergraduate Student Definition and Eligibility</w:t>
      </w:r>
      <w:bookmarkEnd w:id="2"/>
    </w:p>
    <w:p w14:paraId="039B3745" w14:textId="381204C2" w:rsidR="00C8194F" w:rsidRPr="0090051E" w:rsidRDefault="00C8194F" w:rsidP="00D70042">
      <w:r w:rsidRPr="0090051E">
        <w:t xml:space="preserve">Full-time </w:t>
      </w:r>
      <w:r w:rsidR="00030AE3" w:rsidRPr="0090051E">
        <w:t>u</w:t>
      </w:r>
      <w:r w:rsidRPr="0090051E">
        <w:t xml:space="preserve">ndergraduate </w:t>
      </w:r>
      <w:r w:rsidR="00030AE3" w:rsidRPr="0090051E">
        <w:t>s</w:t>
      </w:r>
      <w:r w:rsidRPr="0090051E">
        <w:t xml:space="preserve">tudents and part-time </w:t>
      </w:r>
      <w:r w:rsidR="00030AE3" w:rsidRPr="0090051E">
        <w:t>u</w:t>
      </w:r>
      <w:r w:rsidRPr="0090051E">
        <w:t xml:space="preserve">ndergraduate </w:t>
      </w:r>
      <w:r w:rsidR="00030AE3" w:rsidRPr="0090051E">
        <w:t>s</w:t>
      </w:r>
      <w:r w:rsidRPr="0090051E">
        <w:t>tudents who are registered</w:t>
      </w:r>
      <w:r w:rsidR="006E21F5" w:rsidRPr="0090051E">
        <w:t xml:space="preserve"> </w:t>
      </w:r>
      <w:r w:rsidRPr="0090051E">
        <w:t xml:space="preserve">for twenty-seven (27) </w:t>
      </w:r>
      <w:r w:rsidR="00293847" w:rsidRPr="0090051E">
        <w:t xml:space="preserve">or more </w:t>
      </w:r>
      <w:r w:rsidRPr="0090051E">
        <w:t xml:space="preserve">units per </w:t>
      </w:r>
      <w:r w:rsidR="00432788" w:rsidRPr="0090051E">
        <w:t xml:space="preserve">academic </w:t>
      </w:r>
      <w:r w:rsidRPr="0090051E">
        <w:t>term</w:t>
      </w:r>
      <w:r w:rsidR="006E21F5" w:rsidRPr="0090051E">
        <w:rPr>
          <w:rStyle w:val="FootnoteReference"/>
        </w:rPr>
        <w:footnoteReference w:id="1"/>
      </w:r>
      <w:r w:rsidR="006E21F5" w:rsidRPr="0090051E">
        <w:t xml:space="preserve"> </w:t>
      </w:r>
      <w:r w:rsidRPr="0090051E">
        <w:t xml:space="preserve">will be automatically </w:t>
      </w:r>
      <w:r w:rsidR="00B1735A" w:rsidRPr="0090051E">
        <w:t xml:space="preserve">enrolled in </w:t>
      </w:r>
      <w:r w:rsidRPr="0090051E">
        <w:t xml:space="preserve">the </w:t>
      </w:r>
      <w:r w:rsidR="00E5735C" w:rsidRPr="0090051E">
        <w:t xml:space="preserve">MIT Student Health Insurance Plan </w:t>
      </w:r>
      <w:r w:rsidRPr="0090051E">
        <w:t>or</w:t>
      </w:r>
      <w:r w:rsidR="000A6B48" w:rsidRPr="0090051E">
        <w:t xml:space="preserve"> required</w:t>
      </w:r>
      <w:r w:rsidRPr="0090051E">
        <w:t xml:space="preserve"> to demonstrate comparable coverage from another source</w:t>
      </w:r>
      <w:r w:rsidR="000E0880" w:rsidRPr="0090051E">
        <w:t xml:space="preserve">, as defined in </w:t>
      </w:r>
      <w:hyperlink w:anchor="_6.1_Comparable_Coverage" w:history="1">
        <w:r w:rsidR="00B941D8" w:rsidRPr="0090051E">
          <w:rPr>
            <w:rStyle w:val="Hyperlink"/>
          </w:rPr>
          <w:t>Section 5.1</w:t>
        </w:r>
      </w:hyperlink>
      <w:r w:rsidR="000E0880" w:rsidRPr="0090051E">
        <w:t>,</w:t>
      </w:r>
      <w:r w:rsidR="00F7701C" w:rsidRPr="0090051E">
        <w:t xml:space="preserve"> in order to waive the </w:t>
      </w:r>
      <w:r w:rsidR="00E5735C" w:rsidRPr="0090051E">
        <w:t>MIT Student Health Insurance Plan</w:t>
      </w:r>
      <w:r w:rsidRPr="0090051E">
        <w:t>.</w:t>
      </w:r>
    </w:p>
    <w:p w14:paraId="74A41640" w14:textId="20F240C2" w:rsidR="00C8194F" w:rsidRPr="0090051E" w:rsidRDefault="00C8194F" w:rsidP="00D70042">
      <w:r w:rsidRPr="0090051E">
        <w:t xml:space="preserve">Undergraduate </w:t>
      </w:r>
      <w:r w:rsidR="00030AE3" w:rsidRPr="0090051E">
        <w:t>s</w:t>
      </w:r>
      <w:r w:rsidRPr="0090051E">
        <w:t xml:space="preserve">tudents are considered full-time if registered for thirty-six (36) or more units per </w:t>
      </w:r>
      <w:r w:rsidR="00432788" w:rsidRPr="0090051E">
        <w:t xml:space="preserve">academic </w:t>
      </w:r>
      <w:r w:rsidRPr="0090051E">
        <w:t>term, on approved study abroad or domestic study away or on a</w:t>
      </w:r>
      <w:r w:rsidR="004F48AE" w:rsidRPr="0090051E">
        <w:t>n academic</w:t>
      </w:r>
      <w:r w:rsidRPr="0090051E">
        <w:t xml:space="preserve"> term of co-op. Undergraduate </w:t>
      </w:r>
      <w:r w:rsidR="00030AE3" w:rsidRPr="0090051E">
        <w:t xml:space="preserve">students </w:t>
      </w:r>
      <w:r w:rsidRPr="0090051E">
        <w:t xml:space="preserve">registered in the spring </w:t>
      </w:r>
      <w:r w:rsidR="00432788" w:rsidRPr="0090051E">
        <w:t xml:space="preserve">academic </w:t>
      </w:r>
      <w:r w:rsidRPr="0090051E">
        <w:t xml:space="preserve">term who do not graduate or withdraw </w:t>
      </w:r>
      <w:r w:rsidR="00F7701C" w:rsidRPr="0090051E">
        <w:t xml:space="preserve">from enrollment at MIT </w:t>
      </w:r>
      <w:r w:rsidRPr="0090051E">
        <w:t>retain</w:t>
      </w:r>
      <w:r w:rsidR="00F7701C" w:rsidRPr="0090051E">
        <w:t xml:space="preserve"> their</w:t>
      </w:r>
      <w:r w:rsidRPr="0090051E">
        <w:t xml:space="preserve"> student status throughout the summer, whether or not they register for summer </w:t>
      </w:r>
      <w:r w:rsidR="00432788" w:rsidRPr="0090051E">
        <w:t>academic term</w:t>
      </w:r>
      <w:r w:rsidR="006E7F19" w:rsidRPr="0090051E">
        <w:t>.</w:t>
      </w:r>
      <w:r w:rsidR="00F7701C" w:rsidRPr="0090051E">
        <w:t xml:space="preserve"> As such, their enrollment in the </w:t>
      </w:r>
      <w:r w:rsidR="00E5735C" w:rsidRPr="0090051E">
        <w:t>MIT Student Health Insurance Plan</w:t>
      </w:r>
      <w:r w:rsidR="00C72350" w:rsidRPr="0090051E">
        <w:t>, unless it has been waived</w:t>
      </w:r>
      <w:r w:rsidR="00F7701C" w:rsidRPr="0090051E">
        <w:t xml:space="preserve">, continues </w:t>
      </w:r>
      <w:r w:rsidR="00C01C3A" w:rsidRPr="0090051E">
        <w:t>until the end of the benefit year on August 31</w:t>
      </w:r>
      <w:r w:rsidR="00F7701C" w:rsidRPr="0090051E">
        <w:t>.</w:t>
      </w:r>
    </w:p>
    <w:p w14:paraId="55F67A54" w14:textId="264D5FDE" w:rsidR="00D42566" w:rsidRPr="0090051E" w:rsidRDefault="00B1735A" w:rsidP="00D70042">
      <w:r w:rsidRPr="0090051E">
        <w:t xml:space="preserve">Undergraduate </w:t>
      </w:r>
      <w:r w:rsidR="00030AE3" w:rsidRPr="0090051E">
        <w:t>s</w:t>
      </w:r>
      <w:r w:rsidRPr="0090051E">
        <w:t xml:space="preserve">tudents who are registered for fewer than </w:t>
      </w:r>
      <w:r w:rsidR="00432788" w:rsidRPr="0090051E">
        <w:t xml:space="preserve">twenty-seven (27) </w:t>
      </w:r>
      <w:r w:rsidRPr="0090051E">
        <w:t xml:space="preserve">units per </w:t>
      </w:r>
      <w:r w:rsidR="00432788" w:rsidRPr="0090051E">
        <w:t xml:space="preserve">academic </w:t>
      </w:r>
      <w:r w:rsidRPr="0090051E">
        <w:t>term</w:t>
      </w:r>
      <w:r w:rsidR="000E0880" w:rsidRPr="0090051E">
        <w:rPr>
          <w:rStyle w:val="FootnoteReference"/>
        </w:rPr>
        <w:footnoteReference w:id="2"/>
      </w:r>
      <w:r w:rsidRPr="0090051E">
        <w:t xml:space="preserve"> </w:t>
      </w:r>
      <w:r w:rsidR="00F7701C" w:rsidRPr="0090051E">
        <w:t xml:space="preserve">will not be automatically enrolled in the </w:t>
      </w:r>
      <w:r w:rsidR="00E5735C" w:rsidRPr="0090051E">
        <w:t xml:space="preserve">MIT Student Health Insurance Plan </w:t>
      </w:r>
      <w:r w:rsidR="00F7701C" w:rsidRPr="0090051E">
        <w:t xml:space="preserve">and </w:t>
      </w:r>
      <w:r w:rsidR="006E21F5" w:rsidRPr="0090051E">
        <w:t xml:space="preserve">are </w:t>
      </w:r>
      <w:r w:rsidR="00F7701C" w:rsidRPr="0090051E">
        <w:t>not required to demonstrate comparable coverage from another source.  They will, however</w:t>
      </w:r>
      <w:r w:rsidRPr="0090051E">
        <w:t xml:space="preserve">, </w:t>
      </w:r>
      <w:r w:rsidR="00F7701C" w:rsidRPr="0090051E">
        <w:t xml:space="preserve">be </w:t>
      </w:r>
      <w:r w:rsidRPr="0090051E">
        <w:t>eligible for</w:t>
      </w:r>
      <w:r w:rsidR="00F7701C" w:rsidRPr="0090051E">
        <w:t xml:space="preserve"> voluntary enrollment </w:t>
      </w:r>
      <w:r w:rsidRPr="0090051E">
        <w:t xml:space="preserve">in the </w:t>
      </w:r>
      <w:r w:rsidR="00E5735C" w:rsidRPr="0090051E">
        <w:t>MIT Student Health Insurance Plan</w:t>
      </w:r>
      <w:r w:rsidRPr="0090051E">
        <w:t>.</w:t>
      </w:r>
    </w:p>
    <w:p w14:paraId="6BBFC3B3" w14:textId="77777777" w:rsidR="00B1735A" w:rsidRPr="0090051E" w:rsidRDefault="00B1735A" w:rsidP="00D70042"/>
    <w:p w14:paraId="36C3AC67" w14:textId="77777777" w:rsidR="00D42566" w:rsidRPr="0090051E" w:rsidRDefault="00EC794A" w:rsidP="00D70042">
      <w:pPr>
        <w:pStyle w:val="Heading2"/>
        <w:spacing w:before="0" w:after="120"/>
        <w:rPr>
          <w:i/>
          <w:color w:val="auto"/>
        </w:rPr>
      </w:pPr>
      <w:bookmarkStart w:id="3" w:name="_Toc232415476"/>
      <w:r w:rsidRPr="0090051E">
        <w:rPr>
          <w:i/>
          <w:color w:val="auto"/>
        </w:rPr>
        <w:t>1.2 Graduate Student Definition and Eligibility</w:t>
      </w:r>
      <w:bookmarkEnd w:id="3"/>
    </w:p>
    <w:p w14:paraId="5345689F" w14:textId="77777777" w:rsidR="00546181" w:rsidRPr="0090051E" w:rsidRDefault="001C4BDC" w:rsidP="00D70042">
      <w:r w:rsidRPr="0090051E">
        <w:t>Regular graduate students, non-resident graduate students, and special graduate students who are registered for twenty-seven (27) or more units per academic term, or eighteen (18) units in the summer term</w:t>
      </w:r>
      <w:r w:rsidR="006E7F19" w:rsidRPr="0090051E">
        <w:t>,</w:t>
      </w:r>
      <w:r w:rsidRPr="0090051E">
        <w:t xml:space="preserve"> or those </w:t>
      </w:r>
      <w:r w:rsidR="006E7F19" w:rsidRPr="0090051E">
        <w:t xml:space="preserve"> charged full tuition, </w:t>
      </w:r>
      <w:r w:rsidR="000A6B48" w:rsidRPr="0090051E">
        <w:t xml:space="preserve">will be automatically enrolled in the </w:t>
      </w:r>
      <w:r w:rsidR="00E5735C" w:rsidRPr="0090051E">
        <w:t xml:space="preserve">MIT Student Health Insurance Plan </w:t>
      </w:r>
      <w:r w:rsidR="000A6B48" w:rsidRPr="0090051E">
        <w:t>or required to demonstrate comparable coverage from another source</w:t>
      </w:r>
      <w:r w:rsidR="000E0880" w:rsidRPr="0090051E">
        <w:t xml:space="preserve">, as defined in </w:t>
      </w:r>
      <w:hyperlink w:anchor="_6.1_Comparable_Coverage" w:history="1">
        <w:r w:rsidR="00B941D8" w:rsidRPr="0090051E">
          <w:rPr>
            <w:rStyle w:val="Hyperlink"/>
          </w:rPr>
          <w:t>Section 5.1</w:t>
        </w:r>
      </w:hyperlink>
      <w:r w:rsidR="000E0880" w:rsidRPr="0090051E">
        <w:t>,</w:t>
      </w:r>
      <w:r w:rsidR="0009111D" w:rsidRPr="0090051E">
        <w:t xml:space="preserve"> in order to waive the </w:t>
      </w:r>
      <w:r w:rsidR="00E5735C" w:rsidRPr="0090051E">
        <w:t>MIT Student Health Insurance Plan</w:t>
      </w:r>
      <w:r w:rsidR="000A6B48" w:rsidRPr="0090051E">
        <w:t>.</w:t>
      </w:r>
    </w:p>
    <w:p w14:paraId="0BB9C75C" w14:textId="194C052F" w:rsidR="006E7F19" w:rsidRPr="0090051E" w:rsidRDefault="00546181" w:rsidP="00D70042">
      <w:r w:rsidRPr="0090051E">
        <w:t>Graduate students registered in the spring academic term who do not graduate or withdraw from enrollment at MIT retain their student status throughout the summer, whether or not they register for summer academic term. As such, their enrollment in the MIT Student Health Insurance Plan, unless it has been waived, continues until the end of the benefit year on August 31.</w:t>
      </w:r>
      <w:r w:rsidR="0009111D" w:rsidRPr="0090051E">
        <w:t xml:space="preserve"> </w:t>
      </w:r>
    </w:p>
    <w:p w14:paraId="7121C306" w14:textId="77777777" w:rsidR="00925056" w:rsidRPr="0090051E" w:rsidRDefault="00925056" w:rsidP="00D70042">
      <w:r w:rsidRPr="0090051E">
        <w:t xml:space="preserve">Graduate students who hold a teaching assistant appointment with a title of Teaching Assistant or Instructor-G, those who hold an appointment as a Research Assistant, and Graduate Resident Tutors are considered as </w:t>
      </w:r>
      <w:r w:rsidR="00293847" w:rsidRPr="0090051E">
        <w:t xml:space="preserve">graduate </w:t>
      </w:r>
      <w:r w:rsidRPr="0090051E">
        <w:t>students for purposes of health insurance requirements and eligibility.</w:t>
      </w:r>
    </w:p>
    <w:p w14:paraId="3743BCA2" w14:textId="77777777" w:rsidR="00DA7220" w:rsidRPr="0090051E" w:rsidRDefault="00DA7220" w:rsidP="00D70042">
      <w:r w:rsidRPr="0090051E">
        <w:t>Graduate students who are conducting thesis research</w:t>
      </w:r>
      <w:r w:rsidRPr="0090051E">
        <w:rPr>
          <w:i/>
        </w:rPr>
        <w:t xml:space="preserve"> in absentia </w:t>
      </w:r>
      <w:r w:rsidRPr="0090051E">
        <w:t>and students who have been granted non</w:t>
      </w:r>
      <w:r w:rsidR="0006365D" w:rsidRPr="0090051E">
        <w:t>-</w:t>
      </w:r>
      <w:r w:rsidRPr="0090051E">
        <w:t>resident doctoral thesis research status are considered as graduate students for purposes of health insurance requirements and eligibility.</w:t>
      </w:r>
    </w:p>
    <w:p w14:paraId="243655C9" w14:textId="1E3B14EC" w:rsidR="00B1735A" w:rsidRPr="0090051E" w:rsidRDefault="00293847" w:rsidP="00D70042">
      <w:r w:rsidRPr="0090051E">
        <w:lastRenderedPageBreak/>
        <w:t xml:space="preserve">Regular graduate students, non-resident graduate students, and special graduate students </w:t>
      </w:r>
      <w:r w:rsidR="00B1735A" w:rsidRPr="0090051E">
        <w:t xml:space="preserve">who are registered for fewer than twenty-seven (27) </w:t>
      </w:r>
      <w:r w:rsidRPr="0090051E">
        <w:t xml:space="preserve">units </w:t>
      </w:r>
      <w:r w:rsidR="00B1735A" w:rsidRPr="0090051E">
        <w:t xml:space="preserve">per </w:t>
      </w:r>
      <w:r w:rsidR="00432788" w:rsidRPr="0090051E">
        <w:t xml:space="preserve">academic </w:t>
      </w:r>
      <w:r w:rsidR="00B1735A" w:rsidRPr="0090051E">
        <w:t>term</w:t>
      </w:r>
      <w:r w:rsidR="001C4BDC" w:rsidRPr="0090051E">
        <w:t>, or fewer than eighteen (18) units in the summer term,</w:t>
      </w:r>
      <w:r w:rsidR="001C4BDC" w:rsidRPr="0090051E">
        <w:rPr>
          <w:vertAlign w:val="superscript"/>
        </w:rPr>
        <w:t>2</w:t>
      </w:r>
      <w:r w:rsidR="001C4BDC" w:rsidRPr="0090051E">
        <w:t xml:space="preserve"> </w:t>
      </w:r>
      <w:r w:rsidR="00E5735C" w:rsidRPr="0090051E">
        <w:t xml:space="preserve">will </w:t>
      </w:r>
      <w:r w:rsidR="0009111D" w:rsidRPr="0090051E">
        <w:t xml:space="preserve">not be automatically enrolled in the </w:t>
      </w:r>
      <w:r w:rsidR="00E5735C" w:rsidRPr="0090051E">
        <w:t xml:space="preserve">MIT Student Health Insurance Plan </w:t>
      </w:r>
      <w:r w:rsidR="0009111D" w:rsidRPr="0090051E">
        <w:t xml:space="preserve">and not required to demonstrate comparable coverage from another source.  They will, however, be eligible for voluntary enrollment in the </w:t>
      </w:r>
      <w:r w:rsidR="00E5735C" w:rsidRPr="0090051E">
        <w:t>MIT Student Health Insurance Plan</w:t>
      </w:r>
      <w:r w:rsidR="00B1735A" w:rsidRPr="0090051E">
        <w:t>.</w:t>
      </w:r>
    </w:p>
    <w:p w14:paraId="5385C660" w14:textId="3566A939" w:rsidR="008643BD" w:rsidRPr="0090051E" w:rsidRDefault="008643BD" w:rsidP="00D70042"/>
    <w:p w14:paraId="3CB4D6A2" w14:textId="3879EC6C" w:rsidR="00451ADB" w:rsidRPr="0090051E" w:rsidRDefault="00451ADB" w:rsidP="00D70042">
      <w:pPr>
        <w:pStyle w:val="Heading2"/>
        <w:spacing w:before="0" w:after="120"/>
        <w:rPr>
          <w:i/>
          <w:color w:val="auto"/>
        </w:rPr>
      </w:pPr>
      <w:bookmarkStart w:id="4" w:name="_Toc232415477"/>
      <w:r w:rsidRPr="0090051E">
        <w:rPr>
          <w:i/>
          <w:color w:val="auto"/>
        </w:rPr>
        <w:t>1.3 Sloan Executive MBA</w:t>
      </w:r>
      <w:r w:rsidR="00663AAC" w:rsidRPr="0090051E">
        <w:rPr>
          <w:i/>
          <w:color w:val="auto"/>
        </w:rPr>
        <w:t xml:space="preserve"> and Sloan Visiting Fellows</w:t>
      </w:r>
      <w:r w:rsidRPr="0090051E">
        <w:rPr>
          <w:i/>
          <w:color w:val="auto"/>
        </w:rPr>
        <w:t xml:space="preserve"> Definition and Eligibility</w:t>
      </w:r>
      <w:bookmarkEnd w:id="4"/>
    </w:p>
    <w:p w14:paraId="51D3AD29" w14:textId="769CDE14" w:rsidR="00451ADB" w:rsidRPr="0090051E" w:rsidRDefault="00451ADB" w:rsidP="00D70042">
      <w:r w:rsidRPr="0090051E">
        <w:t>Sloan Executive MBA students are enrolled in the Executive Master</w:t>
      </w:r>
      <w:r w:rsidR="00917F35" w:rsidRPr="0090051E">
        <w:t>’</w:t>
      </w:r>
      <w:r w:rsidRPr="0090051E">
        <w:t>s in Business Administration program at the Sloan School.</w:t>
      </w:r>
      <w:r w:rsidR="00663AAC" w:rsidRPr="0090051E">
        <w:t xml:space="preserve"> Sloan Visiting Fellows </w:t>
      </w:r>
      <w:r w:rsidR="00F161CE" w:rsidRPr="0090051E">
        <w:t>are participants in a non-degree course of study for students, professionals, and MIT alumni.</w:t>
      </w:r>
      <w:r w:rsidR="00BC2660" w:rsidRPr="0090051E">
        <w:t xml:space="preserve"> </w:t>
      </w:r>
      <w:r w:rsidRPr="0090051E">
        <w:t xml:space="preserve">The determination that an individual is a Sloan Executive MBA </w:t>
      </w:r>
      <w:r w:rsidR="00663AAC" w:rsidRPr="0090051E">
        <w:t xml:space="preserve">students or Sloan Visiting Fellow </w:t>
      </w:r>
      <w:r w:rsidRPr="0090051E">
        <w:t>for purposes of health insurance eligibility will be handled by the MIT Registrar’s Office.</w:t>
      </w:r>
    </w:p>
    <w:p w14:paraId="3E76AE33" w14:textId="677C25D2" w:rsidR="00451ADB" w:rsidRPr="0090051E" w:rsidRDefault="00451ADB" w:rsidP="00D70042">
      <w:r w:rsidRPr="0090051E">
        <w:t>Sloan Executive MBA</w:t>
      </w:r>
      <w:r w:rsidR="00663AAC" w:rsidRPr="0090051E">
        <w:t xml:space="preserve"> students and Sloan Visiting Fellows </w:t>
      </w:r>
      <w:r w:rsidRPr="0090051E">
        <w:t xml:space="preserve">must affirmatively enroll in the </w:t>
      </w:r>
      <w:r w:rsidR="00E5735C" w:rsidRPr="0090051E">
        <w:t xml:space="preserve">MIT Student Health Insurance Plan </w:t>
      </w:r>
      <w:r w:rsidRPr="0090051E">
        <w:t>and will not be required to demonstrate comparable coverage from another source.</w:t>
      </w:r>
    </w:p>
    <w:p w14:paraId="74F42DB3" w14:textId="77777777" w:rsidR="00451ADB" w:rsidRPr="0090051E" w:rsidRDefault="00451ADB" w:rsidP="00D70042"/>
    <w:p w14:paraId="4E184038" w14:textId="21C4D970" w:rsidR="008025D6" w:rsidRPr="0090051E" w:rsidRDefault="008643BD" w:rsidP="00D70042">
      <w:pPr>
        <w:pStyle w:val="Heading2"/>
        <w:spacing w:before="0" w:after="120"/>
        <w:rPr>
          <w:i/>
          <w:color w:val="auto"/>
        </w:rPr>
      </w:pPr>
      <w:bookmarkStart w:id="5" w:name="_1.3_Exchange_Student"/>
      <w:bookmarkStart w:id="6" w:name="_Toc232415478"/>
      <w:bookmarkEnd w:id="5"/>
      <w:r w:rsidRPr="0090051E">
        <w:rPr>
          <w:i/>
          <w:color w:val="auto"/>
        </w:rPr>
        <w:t>1.</w:t>
      </w:r>
      <w:r w:rsidR="00451ADB" w:rsidRPr="0090051E">
        <w:rPr>
          <w:i/>
          <w:color w:val="auto"/>
        </w:rPr>
        <w:t>4</w:t>
      </w:r>
      <w:r w:rsidRPr="0090051E">
        <w:rPr>
          <w:i/>
          <w:color w:val="auto"/>
        </w:rPr>
        <w:t xml:space="preserve"> </w:t>
      </w:r>
      <w:r w:rsidR="00EC794A" w:rsidRPr="0090051E">
        <w:rPr>
          <w:i/>
          <w:color w:val="auto"/>
        </w:rPr>
        <w:t>Exchange Student</w:t>
      </w:r>
      <w:r w:rsidR="002545AA" w:rsidRPr="0090051E">
        <w:rPr>
          <w:i/>
          <w:color w:val="auto"/>
        </w:rPr>
        <w:t>s and Exchange Scholars</w:t>
      </w:r>
      <w:r w:rsidR="00EC794A" w:rsidRPr="0090051E">
        <w:rPr>
          <w:i/>
          <w:color w:val="auto"/>
        </w:rPr>
        <w:t xml:space="preserve"> Definition and Eligibility</w:t>
      </w:r>
      <w:bookmarkEnd w:id="6"/>
    </w:p>
    <w:p w14:paraId="38897D43" w14:textId="6FF62AC1" w:rsidR="002545AA" w:rsidRPr="0090051E" w:rsidRDefault="008025D6" w:rsidP="00D70042">
      <w:r w:rsidRPr="0090051E">
        <w:t xml:space="preserve">Exchange </w:t>
      </w:r>
      <w:r w:rsidR="000A6B48" w:rsidRPr="0090051E">
        <w:t>s</w:t>
      </w:r>
      <w:r w:rsidRPr="0090051E">
        <w:t xml:space="preserve">tudents are </w:t>
      </w:r>
      <w:r w:rsidR="0009111D" w:rsidRPr="0090051E">
        <w:t xml:space="preserve">students who are </w:t>
      </w:r>
      <w:r w:rsidRPr="0090051E">
        <w:t xml:space="preserve">studying at MIT as part of an </w:t>
      </w:r>
      <w:r w:rsidR="00CE7579" w:rsidRPr="0090051E">
        <w:t xml:space="preserve">official </w:t>
      </w:r>
      <w:r w:rsidRPr="0090051E">
        <w:t>exchange program between MIT and Cambridge University, the National University of Singapore, or the Nanyang Technological University.</w:t>
      </w:r>
      <w:r w:rsidR="002545AA" w:rsidRPr="0090051E">
        <w:t xml:space="preserve"> Exchange scholars are students who are enrolled in a doctoral program at a participating institution (Brown University, Columbia University, Cornell University, Harvard University, University of Pennsylvania, Princeton University, Stanford University, University of California – Berkeley, University of Chicago or Yale University) who are taking classes and/or doing research at MIT.</w:t>
      </w:r>
    </w:p>
    <w:p w14:paraId="10D0E82E" w14:textId="77777777" w:rsidR="0069731D" w:rsidRPr="0090051E" w:rsidRDefault="0069731D" w:rsidP="00D70042">
      <w:r w:rsidRPr="0090051E">
        <w:t>The determination that an individual is an exchange student for purposes of health insurance eligibility will be handled by the MIT Registrar’s Office.</w:t>
      </w:r>
    </w:p>
    <w:p w14:paraId="20474FC9" w14:textId="40836E3C" w:rsidR="00451ADB" w:rsidRPr="0090051E" w:rsidRDefault="008B78C1" w:rsidP="00D70042">
      <w:r w:rsidRPr="0090051E">
        <w:t xml:space="preserve">Exchange students </w:t>
      </w:r>
      <w:r w:rsidR="002545AA" w:rsidRPr="0090051E">
        <w:t xml:space="preserve">and exchange scholars </w:t>
      </w:r>
      <w:r w:rsidR="00FE5C36" w:rsidRPr="0090051E">
        <w:t xml:space="preserve">will be automatically enrolled in the MIT Student Health Insurance Plan or required to demonstrate comparable coverage from another source, as defined in </w:t>
      </w:r>
      <w:hyperlink w:anchor="_6.1_Comparable_Coverage" w:history="1">
        <w:r w:rsidR="00FE5C36" w:rsidRPr="0090051E">
          <w:rPr>
            <w:rStyle w:val="Hyperlink"/>
          </w:rPr>
          <w:t>Section 5.1</w:t>
        </w:r>
      </w:hyperlink>
      <w:r w:rsidR="00FE5C36" w:rsidRPr="0090051E">
        <w:t>, in order to waive the MIT Student Health Insurance Plan.</w:t>
      </w:r>
    </w:p>
    <w:p w14:paraId="0CC688AF" w14:textId="77777777" w:rsidR="00834B21" w:rsidRDefault="00834B21" w:rsidP="00D70042"/>
    <w:p w14:paraId="21383535" w14:textId="4B29B591" w:rsidR="00C16D6F" w:rsidRPr="0090051E" w:rsidRDefault="00C16D6F" w:rsidP="00C16D6F">
      <w:pPr>
        <w:pStyle w:val="Heading2"/>
        <w:spacing w:before="0" w:after="120"/>
        <w:rPr>
          <w:i/>
          <w:color w:val="auto"/>
        </w:rPr>
      </w:pPr>
      <w:bookmarkStart w:id="7" w:name="_Toc232415479"/>
      <w:r w:rsidRPr="0090051E">
        <w:rPr>
          <w:i/>
          <w:color w:val="auto"/>
        </w:rPr>
        <w:t>1.</w:t>
      </w:r>
      <w:r w:rsidR="009D6192">
        <w:rPr>
          <w:i/>
          <w:color w:val="auto"/>
        </w:rPr>
        <w:t>5</w:t>
      </w:r>
      <w:r w:rsidRPr="0090051E">
        <w:rPr>
          <w:i/>
          <w:color w:val="auto"/>
        </w:rPr>
        <w:t xml:space="preserve"> </w:t>
      </w:r>
      <w:r>
        <w:rPr>
          <w:i/>
          <w:color w:val="auto"/>
        </w:rPr>
        <w:t>Advanced Stud</w:t>
      </w:r>
      <w:r w:rsidR="00900515">
        <w:rPr>
          <w:i/>
          <w:color w:val="auto"/>
        </w:rPr>
        <w:t>ies</w:t>
      </w:r>
      <w:r>
        <w:rPr>
          <w:i/>
          <w:color w:val="auto"/>
        </w:rPr>
        <w:t xml:space="preserve"> Program</w:t>
      </w:r>
      <w:r w:rsidR="00E81F46">
        <w:rPr>
          <w:i/>
          <w:color w:val="auto"/>
        </w:rPr>
        <w:t xml:space="preserve"> Definition and Eligibility</w:t>
      </w:r>
      <w:bookmarkEnd w:id="7"/>
    </w:p>
    <w:p w14:paraId="4E712B09" w14:textId="77777777" w:rsidR="003F1ADF" w:rsidRPr="0090051E" w:rsidRDefault="00DB6413" w:rsidP="003F1ADF">
      <w:r>
        <w:t xml:space="preserve">Full time </w:t>
      </w:r>
      <w:r w:rsidR="003F1ADF">
        <w:t>participants</w:t>
      </w:r>
      <w:r w:rsidR="00C00C9F">
        <w:t xml:space="preserve"> enrolled in t</w:t>
      </w:r>
      <w:r w:rsidR="00C00C9F" w:rsidRPr="00C00C9F">
        <w:t>he MIT Professional Education Advanced Study Program (ASP)</w:t>
      </w:r>
      <w:r>
        <w:t xml:space="preserve"> are eligible for participation in the MIT Student Health Insurance Plan</w:t>
      </w:r>
      <w:r w:rsidR="00B640CD">
        <w:t xml:space="preserve">.  </w:t>
      </w:r>
      <w:r w:rsidR="003F1ADF">
        <w:t xml:space="preserve"> Full time participants </w:t>
      </w:r>
      <w:r w:rsidR="003F1ADF" w:rsidRPr="0090051E">
        <w:t>must affirmatively enroll in the MIT Student Health Insurance Plan and will not be required to demonstrate comparable coverage from another source.</w:t>
      </w:r>
    </w:p>
    <w:p w14:paraId="575C6A77" w14:textId="79CF5056" w:rsidR="00C16D6F" w:rsidRPr="0090051E" w:rsidRDefault="003F1ADF" w:rsidP="00D70042">
      <w:r>
        <w:t>Part time participants enrolled in t</w:t>
      </w:r>
      <w:r w:rsidRPr="00C00C9F">
        <w:t>he MIT Professional Education Advanced Study Program (ASP)</w:t>
      </w:r>
      <w:r>
        <w:t xml:space="preserve"> are not eligible for participation in the MIT Student Health Insurance Plan.</w:t>
      </w:r>
    </w:p>
    <w:p w14:paraId="3ED30A91" w14:textId="3E8E52F6" w:rsidR="00004E1B" w:rsidRPr="0090051E" w:rsidRDefault="00004E1B" w:rsidP="00D70042">
      <w:pPr>
        <w:pStyle w:val="Heading2"/>
        <w:spacing w:before="0" w:after="120"/>
        <w:rPr>
          <w:i/>
          <w:color w:val="auto"/>
        </w:rPr>
      </w:pPr>
      <w:bookmarkStart w:id="8" w:name="_1.5_Special_Student"/>
      <w:bookmarkStart w:id="9" w:name="_1.6_Sloan_School"/>
      <w:bookmarkStart w:id="10" w:name="_1.7_Summer_Programs"/>
      <w:bookmarkStart w:id="11" w:name="_1.4_Summer_Programs"/>
      <w:bookmarkStart w:id="12" w:name="_Toc232415480"/>
      <w:bookmarkEnd w:id="8"/>
      <w:bookmarkEnd w:id="9"/>
      <w:bookmarkEnd w:id="10"/>
      <w:bookmarkEnd w:id="11"/>
      <w:r w:rsidRPr="0090051E">
        <w:rPr>
          <w:i/>
          <w:color w:val="auto"/>
        </w:rPr>
        <w:lastRenderedPageBreak/>
        <w:t>1.</w:t>
      </w:r>
      <w:r w:rsidR="009D6192">
        <w:rPr>
          <w:i/>
          <w:color w:val="auto"/>
        </w:rPr>
        <w:t>6</w:t>
      </w:r>
      <w:r w:rsidRPr="0090051E">
        <w:rPr>
          <w:i/>
          <w:color w:val="auto"/>
        </w:rPr>
        <w:t xml:space="preserve"> </w:t>
      </w:r>
      <w:r w:rsidR="00114CB3" w:rsidRPr="0090051E">
        <w:rPr>
          <w:i/>
          <w:color w:val="auto"/>
        </w:rPr>
        <w:t xml:space="preserve">Summer </w:t>
      </w:r>
      <w:r w:rsidRPr="0090051E">
        <w:rPr>
          <w:i/>
          <w:color w:val="auto"/>
        </w:rPr>
        <w:t>Programs</w:t>
      </w:r>
      <w:r w:rsidR="00650910" w:rsidRPr="0090051E">
        <w:rPr>
          <w:i/>
          <w:color w:val="auto"/>
        </w:rPr>
        <w:t xml:space="preserve"> Definition and Eligibility</w:t>
      </w:r>
      <w:bookmarkEnd w:id="12"/>
    </w:p>
    <w:p w14:paraId="297778C5" w14:textId="6EE666AC" w:rsidR="00204954" w:rsidRPr="0090051E" w:rsidRDefault="002A2936" w:rsidP="00D70042">
      <w:r w:rsidRPr="0090051E">
        <w:t>Generally, p</w:t>
      </w:r>
      <w:r w:rsidR="00114CB3" w:rsidRPr="0090051E">
        <w:t>articipants in MIT-sponsored or MIT-hos</w:t>
      </w:r>
      <w:r w:rsidR="00D74EE9" w:rsidRPr="0090051E">
        <w:t>t</w:t>
      </w:r>
      <w:r w:rsidR="00114CB3" w:rsidRPr="0090051E">
        <w:t xml:space="preserve">ed summer programs are not eligible for participation in the </w:t>
      </w:r>
      <w:r w:rsidR="00E5735C" w:rsidRPr="0090051E">
        <w:t>MIT Student Health Insurance Plan</w:t>
      </w:r>
      <w:r w:rsidR="00114CB3" w:rsidRPr="0090051E">
        <w:t>.</w:t>
      </w:r>
    </w:p>
    <w:p w14:paraId="2534117B" w14:textId="3168C340" w:rsidR="002A2936" w:rsidRPr="0090051E" w:rsidRDefault="002A2936" w:rsidP="009D6192">
      <w:r w:rsidRPr="0090051E">
        <w:t xml:space="preserve">Participants in the MIT Summer Research Program (MSRP) General and MSRP Biology programs </w:t>
      </w:r>
      <w:r w:rsidR="008A5C68">
        <w:t xml:space="preserve">are </w:t>
      </w:r>
      <w:r w:rsidR="008A5C68" w:rsidRPr="0090051E">
        <w:t>eligible for participation in the MIT Student Health Insurance Pla</w:t>
      </w:r>
      <w:r w:rsidR="000022C6">
        <w:t>n</w:t>
      </w:r>
      <w:r w:rsidR="00601061">
        <w:t xml:space="preserve">.  </w:t>
      </w:r>
      <w:r w:rsidR="007B0B33">
        <w:t>In order to enroll, p</w:t>
      </w:r>
      <w:r w:rsidR="000022C6">
        <w:t>articipants</w:t>
      </w:r>
      <w:r w:rsidR="000022C6" w:rsidRPr="0090051E" w:rsidDel="00C62545">
        <w:t xml:space="preserve"> </w:t>
      </w:r>
      <w:r w:rsidR="00423A39">
        <w:t>m</w:t>
      </w:r>
      <w:r w:rsidR="00C62545" w:rsidRPr="0090051E">
        <w:t xml:space="preserve">ust </w:t>
      </w:r>
      <w:r w:rsidR="00AB3990">
        <w:t xml:space="preserve">affirmatively </w:t>
      </w:r>
      <w:r w:rsidR="00C62545" w:rsidRPr="0090051E">
        <w:t>enroll in the MIT Student Health Insurance Plan</w:t>
      </w:r>
      <w:r w:rsidR="002738AB">
        <w:t xml:space="preserve"> through the MSRP office.</w:t>
      </w:r>
      <w:r w:rsidR="00C62545" w:rsidRPr="0090051E">
        <w:t xml:space="preserve"> </w:t>
      </w:r>
      <w:r w:rsidR="002738AB">
        <w:t>Participants</w:t>
      </w:r>
      <w:r w:rsidR="00AB3990">
        <w:t xml:space="preserve"> who choose not enroll</w:t>
      </w:r>
      <w:r w:rsidR="00C62545" w:rsidRPr="0090051E">
        <w:t xml:space="preserve"> will not be required to demonstrate comparable coverage from another source.</w:t>
      </w:r>
    </w:p>
    <w:p w14:paraId="598F5EE5" w14:textId="20872FD5" w:rsidR="002A2936" w:rsidRPr="0090051E" w:rsidRDefault="002A2936" w:rsidP="00D70042">
      <w:r w:rsidRPr="0090051E">
        <w:t xml:space="preserve">MIT Registrar’s Office is the sole source of data for MIT Summer Research Program (MSRP) General and MSRP Biology program participants. No changes in status will be accepted directly by any </w:t>
      </w:r>
      <w:r w:rsidR="00D70042" w:rsidRPr="0090051E">
        <w:t>MIT Summer Research Program (MSRP) General and MSRP Biology program participants</w:t>
      </w:r>
      <w:r w:rsidRPr="0090051E">
        <w:t xml:space="preserve"> or their dependents.</w:t>
      </w:r>
    </w:p>
    <w:p w14:paraId="58A9F457" w14:textId="77777777" w:rsidR="00114CB3" w:rsidRPr="0090051E" w:rsidRDefault="00114CB3" w:rsidP="00D70042"/>
    <w:p w14:paraId="0B0FA32C" w14:textId="1B1738CE" w:rsidR="00114CB3" w:rsidRPr="0090051E" w:rsidRDefault="00114CB3" w:rsidP="00D70042">
      <w:pPr>
        <w:pStyle w:val="Heading2"/>
        <w:spacing w:before="0" w:after="120"/>
        <w:rPr>
          <w:i/>
          <w:color w:val="auto"/>
        </w:rPr>
      </w:pPr>
      <w:bookmarkStart w:id="13" w:name="_Toc232415481"/>
      <w:r w:rsidRPr="0090051E">
        <w:rPr>
          <w:i/>
          <w:color w:val="auto"/>
        </w:rPr>
        <w:t>1.</w:t>
      </w:r>
      <w:r w:rsidR="009D6192">
        <w:rPr>
          <w:i/>
          <w:color w:val="auto"/>
        </w:rPr>
        <w:t>7</w:t>
      </w:r>
      <w:r w:rsidRPr="0090051E">
        <w:rPr>
          <w:i/>
          <w:color w:val="auto"/>
        </w:rPr>
        <w:t xml:space="preserve"> Joint Degree Programs </w:t>
      </w:r>
      <w:r w:rsidR="00650910" w:rsidRPr="0090051E">
        <w:rPr>
          <w:i/>
          <w:color w:val="auto"/>
        </w:rPr>
        <w:t>Definition and Eligibility</w:t>
      </w:r>
      <w:bookmarkEnd w:id="13"/>
    </w:p>
    <w:p w14:paraId="71F3823C" w14:textId="147BCBE6" w:rsidR="00A47494" w:rsidRPr="0090051E" w:rsidRDefault="008D401C" w:rsidP="00D70042">
      <w:r w:rsidRPr="0090051E">
        <w:t xml:space="preserve">Any individual who is enrolled in a joint degree-granting program </w:t>
      </w:r>
      <w:r w:rsidR="00573253" w:rsidRPr="0090051E">
        <w:t xml:space="preserve">with </w:t>
      </w:r>
      <w:r w:rsidR="00A47F79" w:rsidRPr="0090051E">
        <w:t>another</w:t>
      </w:r>
      <w:r w:rsidRPr="0090051E">
        <w:t xml:space="preserve"> institution</w:t>
      </w:r>
      <w:r w:rsidR="00C446D4" w:rsidRPr="0090051E">
        <w:t xml:space="preserve"> or institutions</w:t>
      </w:r>
      <w:r w:rsidRPr="0090051E">
        <w:t xml:space="preserve"> will be considered an MIT student for health insurance eligibility purposes only if they pay tuition to MIT. Individuals in such programs who pay tuition to another institution</w:t>
      </w:r>
      <w:r w:rsidR="00C446D4" w:rsidRPr="0090051E">
        <w:t xml:space="preserve"> or institutions</w:t>
      </w:r>
      <w:r w:rsidR="00194B49" w:rsidRPr="0090051E">
        <w:t>, in lieu of or in addition to MIT,</w:t>
      </w:r>
      <w:r w:rsidRPr="0090051E">
        <w:t xml:space="preserve"> will be subject to the insurance rules and requirements of </w:t>
      </w:r>
      <w:r w:rsidR="00C446D4" w:rsidRPr="0090051E">
        <w:t xml:space="preserve">the </w:t>
      </w:r>
      <w:r w:rsidRPr="0090051E">
        <w:t>institution</w:t>
      </w:r>
      <w:r w:rsidR="00C446D4" w:rsidRPr="0090051E">
        <w:t xml:space="preserve"> to which they pay the largest amount of tuition in dollars</w:t>
      </w:r>
      <w:r w:rsidRPr="0090051E">
        <w:t>.</w:t>
      </w:r>
      <w:r w:rsidR="00451ADB" w:rsidRPr="0090051E">
        <w:t xml:space="preserve"> This includes students</w:t>
      </w:r>
      <w:r w:rsidR="00665554" w:rsidRPr="0090051E">
        <w:t>, but is not limited to,</w:t>
      </w:r>
      <w:r w:rsidR="00451ADB" w:rsidRPr="0090051E">
        <w:t xml:space="preserve"> from Harvard University, Wellesley College, the Massachusetts College of Arts and Design, MassArt and Brandeis University who are </w:t>
      </w:r>
      <w:r w:rsidR="004E167D" w:rsidRPr="0090051E">
        <w:t>cross registered</w:t>
      </w:r>
      <w:r w:rsidR="00451ADB" w:rsidRPr="0090051E">
        <w:t xml:space="preserve"> at MIT.</w:t>
      </w:r>
    </w:p>
    <w:p w14:paraId="2DCD801C" w14:textId="5DAAD2AD" w:rsidR="00A47F79" w:rsidRPr="0090051E" w:rsidRDefault="00A47F79" w:rsidP="00D70042">
      <w:r w:rsidRPr="0090051E">
        <w:t>Exceptions to this requirement may be made on a case-by-case basis for students enrolled at another institution where their faculty advisor has transferred to MIT and the student’s academic and/or research efforts are significantly or exclusively performed at MIT. These determinations will be made by the MIT Registrar’s Office or their designee.</w:t>
      </w:r>
    </w:p>
    <w:p w14:paraId="25D81AEE" w14:textId="77777777" w:rsidR="00004E1B" w:rsidRPr="0090051E" w:rsidRDefault="00004E1B" w:rsidP="00D70042"/>
    <w:p w14:paraId="65D722A4" w14:textId="3C6AD0A7" w:rsidR="003E5C15" w:rsidRPr="0090051E" w:rsidRDefault="003E5C15" w:rsidP="00D70042">
      <w:pPr>
        <w:pStyle w:val="Heading2"/>
        <w:spacing w:before="0" w:after="120"/>
        <w:rPr>
          <w:i/>
          <w:color w:val="auto"/>
        </w:rPr>
      </w:pPr>
      <w:bookmarkStart w:id="14" w:name="_Toc232415482"/>
      <w:r w:rsidRPr="0090051E">
        <w:rPr>
          <w:i/>
          <w:color w:val="auto"/>
        </w:rPr>
        <w:t>1.</w:t>
      </w:r>
      <w:r w:rsidR="009D6192">
        <w:rPr>
          <w:i/>
          <w:color w:val="auto"/>
        </w:rPr>
        <w:t>8</w:t>
      </w:r>
      <w:r w:rsidRPr="0090051E">
        <w:rPr>
          <w:i/>
          <w:color w:val="auto"/>
        </w:rPr>
        <w:t xml:space="preserve"> Students Studying Abroad</w:t>
      </w:r>
      <w:bookmarkEnd w:id="14"/>
    </w:p>
    <w:p w14:paraId="4EE667EA" w14:textId="2EF2903A" w:rsidR="003E5C15" w:rsidRPr="0090051E" w:rsidRDefault="003E5C15" w:rsidP="00D70042">
      <w:r w:rsidRPr="0090051E">
        <w:t xml:space="preserve">In general, </w:t>
      </w:r>
      <w:r w:rsidR="006E084C" w:rsidRPr="0090051E">
        <w:t xml:space="preserve">MIT </w:t>
      </w:r>
      <w:r w:rsidRPr="0090051E">
        <w:t xml:space="preserve">students who are studying abroad should ensure that they have health insurance that meets the requirements of the university, province, state and/or country that they are visiting. </w:t>
      </w:r>
      <w:r w:rsidR="00B51E58" w:rsidRPr="0090051E">
        <w:t xml:space="preserve">The </w:t>
      </w:r>
      <w:r w:rsidR="00E5735C" w:rsidRPr="0090051E">
        <w:t xml:space="preserve">MIT Student Health Insurance Plan </w:t>
      </w:r>
      <w:r w:rsidR="00B51E58" w:rsidRPr="0090051E">
        <w:t>provides only emergency medical treatment outside of the coverage area, including travel abroad.</w:t>
      </w:r>
    </w:p>
    <w:p w14:paraId="2B2763B7" w14:textId="4A04DED4" w:rsidR="005C0DA7" w:rsidRPr="0090051E" w:rsidRDefault="00AB6F8E" w:rsidP="00D70042">
      <w:r w:rsidRPr="0090051E">
        <w:t>MIT students studying abroad will be treated in the same manner as regular undergraduate or graduate students for purposes of eligibility</w:t>
      </w:r>
      <w:r w:rsidR="003B3385" w:rsidRPr="0090051E">
        <w:t xml:space="preserve">, enrollment and waivers. Students studying abroad may request to not be enrolled in the MIT Student Health </w:t>
      </w:r>
      <w:r w:rsidR="003E4544" w:rsidRPr="0090051E">
        <w:t>Insurance</w:t>
      </w:r>
      <w:r w:rsidR="003B3385" w:rsidRPr="0090051E">
        <w:t xml:space="preserve"> Plan</w:t>
      </w:r>
      <w:r w:rsidR="003E4544" w:rsidRPr="0090051E">
        <w:t xml:space="preserve"> for the period they are abroad and must provide supporting documentation from the relevant MIT department, laboratory or center.</w:t>
      </w:r>
    </w:p>
    <w:p w14:paraId="486AD48E" w14:textId="77777777" w:rsidR="003E5C15" w:rsidRPr="0090051E" w:rsidRDefault="003E5C15" w:rsidP="00D70042"/>
    <w:p w14:paraId="6E8DDBEC" w14:textId="49EA28C3" w:rsidR="00766147" w:rsidRPr="0090051E" w:rsidRDefault="00766147" w:rsidP="00D70042">
      <w:pPr>
        <w:pStyle w:val="Heading2"/>
        <w:spacing w:before="0" w:after="120"/>
        <w:rPr>
          <w:i/>
          <w:color w:val="auto"/>
        </w:rPr>
      </w:pPr>
      <w:bookmarkStart w:id="15" w:name="_1.10_Medical_Leave"/>
      <w:bookmarkStart w:id="16" w:name="_1.7_Medical_Leave"/>
      <w:bookmarkStart w:id="17" w:name="_Toc232415483"/>
      <w:bookmarkEnd w:id="15"/>
      <w:bookmarkEnd w:id="16"/>
      <w:r w:rsidRPr="0090051E">
        <w:rPr>
          <w:i/>
          <w:color w:val="auto"/>
        </w:rPr>
        <w:lastRenderedPageBreak/>
        <w:t>1.</w:t>
      </w:r>
      <w:r w:rsidR="009D6192">
        <w:rPr>
          <w:i/>
          <w:color w:val="auto"/>
        </w:rPr>
        <w:t>9</w:t>
      </w:r>
      <w:r w:rsidRPr="0090051E">
        <w:rPr>
          <w:i/>
          <w:color w:val="auto"/>
        </w:rPr>
        <w:t xml:space="preserve"> </w:t>
      </w:r>
      <w:r w:rsidR="004B078A" w:rsidRPr="0090051E">
        <w:rPr>
          <w:i/>
          <w:color w:val="auto"/>
        </w:rPr>
        <w:t xml:space="preserve">Medical </w:t>
      </w:r>
      <w:r w:rsidR="00D941AC" w:rsidRPr="0090051E">
        <w:rPr>
          <w:i/>
          <w:color w:val="auto"/>
        </w:rPr>
        <w:t xml:space="preserve">and Academic </w:t>
      </w:r>
      <w:r w:rsidRPr="0090051E">
        <w:rPr>
          <w:i/>
          <w:color w:val="auto"/>
        </w:rPr>
        <w:t>Leave</w:t>
      </w:r>
      <w:bookmarkEnd w:id="17"/>
    </w:p>
    <w:p w14:paraId="763F3B3D" w14:textId="1803D312" w:rsidR="00CD7145" w:rsidRPr="0090051E" w:rsidRDefault="004E1F88" w:rsidP="00CD7145">
      <w:pPr>
        <w:spacing w:after="0" w:line="240" w:lineRule="auto"/>
        <w:rPr>
          <w:rFonts w:ascii="Calibri" w:eastAsia="Times New Roman" w:hAnsi="Calibri" w:cs="Calibri"/>
          <w:color w:val="000000"/>
        </w:rPr>
      </w:pPr>
      <w:r w:rsidRPr="0090051E">
        <w:rPr>
          <w:rFonts w:ascii="Calibri" w:eastAsia="Times New Roman" w:hAnsi="Calibri" w:cs="Calibri"/>
          <w:color w:val="000000"/>
        </w:rPr>
        <w:t xml:space="preserve">Undergraduate </w:t>
      </w:r>
      <w:r w:rsidR="00A735CF" w:rsidRPr="0090051E">
        <w:rPr>
          <w:rFonts w:ascii="Calibri" w:eastAsia="Times New Roman" w:hAnsi="Calibri" w:cs="Calibri"/>
          <w:color w:val="000000"/>
        </w:rPr>
        <w:t xml:space="preserve">and graduate </w:t>
      </w:r>
      <w:r w:rsidRPr="0090051E">
        <w:rPr>
          <w:rFonts w:ascii="Calibri" w:eastAsia="Times New Roman" w:hAnsi="Calibri" w:cs="Calibri"/>
          <w:color w:val="000000"/>
        </w:rPr>
        <w:t>s</w:t>
      </w:r>
      <w:r w:rsidR="00CD7145" w:rsidRPr="0090051E">
        <w:rPr>
          <w:rFonts w:ascii="Calibri" w:eastAsia="Times New Roman" w:hAnsi="Calibri" w:cs="Calibri"/>
          <w:color w:val="000000"/>
        </w:rPr>
        <w:t>tudents on an approved medical leave</w:t>
      </w:r>
      <w:r w:rsidR="00A735CF" w:rsidRPr="0090051E">
        <w:rPr>
          <w:rFonts w:ascii="Calibri" w:eastAsia="Times New Roman" w:hAnsi="Calibri" w:cs="Calibri"/>
          <w:color w:val="000000"/>
        </w:rPr>
        <w:t>,</w:t>
      </w:r>
      <w:r w:rsidR="00CD7145" w:rsidRPr="0090051E">
        <w:rPr>
          <w:rFonts w:ascii="Calibri" w:eastAsia="Times New Roman" w:hAnsi="Calibri" w:cs="Calibri"/>
          <w:color w:val="000000"/>
        </w:rPr>
        <w:t xml:space="preserve"> </w:t>
      </w:r>
      <w:r w:rsidR="00A735CF" w:rsidRPr="0090051E">
        <w:rPr>
          <w:rFonts w:ascii="Calibri" w:eastAsia="Times New Roman" w:hAnsi="Calibri" w:cs="Calibri"/>
          <w:color w:val="000000"/>
        </w:rPr>
        <w:t xml:space="preserve">undergraduate students </w:t>
      </w:r>
      <w:r w:rsidR="00CD7145" w:rsidRPr="0090051E">
        <w:rPr>
          <w:rFonts w:ascii="Calibri" w:eastAsia="Times New Roman" w:hAnsi="Calibri" w:cs="Calibri"/>
          <w:color w:val="000000"/>
        </w:rPr>
        <w:t>on a required academic leave</w:t>
      </w:r>
      <w:r w:rsidRPr="0090051E">
        <w:rPr>
          <w:rFonts w:ascii="Calibri" w:eastAsia="Times New Roman" w:hAnsi="Calibri" w:cs="Calibri"/>
          <w:color w:val="000000"/>
        </w:rPr>
        <w:t xml:space="preserve"> </w:t>
      </w:r>
      <w:r w:rsidR="00CD7145" w:rsidRPr="0090051E">
        <w:rPr>
          <w:rFonts w:ascii="Calibri" w:eastAsia="Times New Roman" w:hAnsi="Calibri" w:cs="Calibri"/>
          <w:color w:val="000000"/>
        </w:rPr>
        <w:t>as the result of a decision by the Committee on Academic Performance</w:t>
      </w:r>
      <w:r w:rsidR="00A735CF" w:rsidRPr="0090051E">
        <w:rPr>
          <w:rFonts w:ascii="Calibri" w:eastAsia="Times New Roman" w:hAnsi="Calibri" w:cs="Calibri"/>
          <w:color w:val="000000"/>
        </w:rPr>
        <w:t>, and graduate students on a required academic leave</w:t>
      </w:r>
      <w:r w:rsidR="00CD7145" w:rsidRPr="0090051E">
        <w:rPr>
          <w:rFonts w:ascii="Calibri" w:eastAsia="Times New Roman" w:hAnsi="Calibri" w:cs="Calibri"/>
          <w:color w:val="000000"/>
        </w:rPr>
        <w:t xml:space="preserve"> remain eligible for coverage in the MIT Student Health Insurance Plan for </w:t>
      </w:r>
      <w:r w:rsidR="00A735CF" w:rsidRPr="0090051E">
        <w:rPr>
          <w:rFonts w:ascii="Calibri" w:eastAsia="Times New Roman" w:hAnsi="Calibri" w:cs="Calibri"/>
          <w:color w:val="000000"/>
        </w:rPr>
        <w:t xml:space="preserve">the remainder of the benefit year in which the leave began, plus an additional benefit year (see </w:t>
      </w:r>
      <w:hyperlink w:anchor="_5.1_Benefit_Year" w:history="1">
        <w:r w:rsidR="00A735CF" w:rsidRPr="0090051E">
          <w:rPr>
            <w:rStyle w:val="Hyperlink"/>
            <w:rFonts w:ascii="Calibri" w:eastAsia="Times New Roman" w:hAnsi="Calibri" w:cs="Calibri"/>
          </w:rPr>
          <w:t>Section 5.1 Benefit Year and Health Plan Coverage Periods</w:t>
        </w:r>
      </w:hyperlink>
      <w:r w:rsidR="00A735CF" w:rsidRPr="0090051E">
        <w:rPr>
          <w:rFonts w:ascii="Calibri" w:eastAsia="Times New Roman" w:hAnsi="Calibri" w:cs="Calibri"/>
          <w:color w:val="000000"/>
        </w:rPr>
        <w:t xml:space="preserve">). During any Open Enrollment period, a student on leave </w:t>
      </w:r>
      <w:r w:rsidR="00A735CF" w:rsidRPr="0090051E">
        <w:t>must affirmatively enroll in the MIT Student Health Insurance Plan and will not be required to demonstrate comparable coverage from another source</w:t>
      </w:r>
      <w:r w:rsidR="00CD7145" w:rsidRPr="0090051E">
        <w:rPr>
          <w:rFonts w:ascii="Calibri" w:eastAsia="Times New Roman" w:hAnsi="Calibri" w:cs="Calibri"/>
          <w:color w:val="000000"/>
        </w:rPr>
        <w:t>.</w:t>
      </w:r>
    </w:p>
    <w:p w14:paraId="72D09143" w14:textId="2AC9B24A" w:rsidR="00CD7145" w:rsidRPr="0090051E" w:rsidRDefault="00CD7145" w:rsidP="00CD7145">
      <w:pPr>
        <w:spacing w:after="0" w:line="240" w:lineRule="auto"/>
        <w:rPr>
          <w:rFonts w:ascii="Calibri" w:eastAsia="Times New Roman" w:hAnsi="Calibri" w:cs="Calibri"/>
          <w:color w:val="000000"/>
        </w:rPr>
      </w:pPr>
    </w:p>
    <w:p w14:paraId="4661AC27" w14:textId="54E1261D" w:rsidR="00CD7145" w:rsidRPr="0090051E" w:rsidRDefault="00CD7145" w:rsidP="00CD7145">
      <w:pPr>
        <w:spacing w:after="0" w:line="240" w:lineRule="auto"/>
        <w:rPr>
          <w:rFonts w:ascii="Calibri" w:eastAsia="Times New Roman" w:hAnsi="Calibri" w:cs="Calibri"/>
          <w:color w:val="000000"/>
        </w:rPr>
      </w:pPr>
      <w:r w:rsidRPr="0090051E">
        <w:rPr>
          <w:rFonts w:ascii="Calibri" w:eastAsia="Times New Roman" w:hAnsi="Calibri" w:cs="Calibri"/>
          <w:color w:val="000000"/>
        </w:rPr>
        <w:t>A student who was not enrolled in the MIT Student Health Insurance Plan as of the start date of the approved medical leave or required academic leave may not enroll in coverage at any time during their leave</w:t>
      </w:r>
      <w:r w:rsidR="00A735CF" w:rsidRPr="0090051E">
        <w:rPr>
          <w:rFonts w:ascii="Calibri" w:eastAsia="Times New Roman" w:hAnsi="Calibri" w:cs="Calibri"/>
          <w:color w:val="000000"/>
        </w:rPr>
        <w:t>, with the exception of during an Open Enrollment period or as a result of a qualifying event</w:t>
      </w:r>
      <w:r w:rsidRPr="0090051E">
        <w:rPr>
          <w:rFonts w:ascii="Calibri" w:eastAsia="Times New Roman" w:hAnsi="Calibri" w:cs="Calibri"/>
          <w:color w:val="000000"/>
        </w:rPr>
        <w:t>.</w:t>
      </w:r>
    </w:p>
    <w:p w14:paraId="2C1634E7" w14:textId="28097735" w:rsidR="00CD7145" w:rsidRPr="0090051E" w:rsidRDefault="00CD7145" w:rsidP="00CD7145">
      <w:pPr>
        <w:spacing w:after="0" w:line="240" w:lineRule="auto"/>
        <w:rPr>
          <w:rFonts w:ascii="Calibri" w:eastAsia="Times New Roman" w:hAnsi="Calibri" w:cs="Calibri"/>
          <w:color w:val="000000"/>
        </w:rPr>
      </w:pPr>
    </w:p>
    <w:p w14:paraId="6AF84880" w14:textId="5C8005FE" w:rsidR="00CD7145" w:rsidRPr="0090051E" w:rsidRDefault="00CD7145" w:rsidP="00CD7145">
      <w:pPr>
        <w:spacing w:after="0" w:line="240" w:lineRule="auto"/>
        <w:rPr>
          <w:rFonts w:ascii="Calibri" w:eastAsia="Times New Roman" w:hAnsi="Calibri" w:cs="Calibri"/>
          <w:color w:val="000000"/>
        </w:rPr>
      </w:pPr>
      <w:r w:rsidRPr="0090051E">
        <w:rPr>
          <w:rFonts w:ascii="Calibri" w:eastAsia="Times New Roman" w:hAnsi="Calibri" w:cs="Calibri"/>
          <w:color w:val="000000"/>
        </w:rPr>
        <w:t xml:space="preserve">Dependents of students on approved medical leave or required academic leave who were enrolled at the time the leave begins remain eligible for the MIT Student Health Insurance Plan for the full period in which the student remains </w:t>
      </w:r>
      <w:r w:rsidR="00A735CF" w:rsidRPr="0090051E">
        <w:rPr>
          <w:rFonts w:ascii="Calibri" w:eastAsia="Times New Roman" w:hAnsi="Calibri" w:cs="Calibri"/>
          <w:color w:val="000000"/>
        </w:rPr>
        <w:t>eligible</w:t>
      </w:r>
      <w:r w:rsidRPr="0090051E">
        <w:rPr>
          <w:rFonts w:ascii="Calibri" w:eastAsia="Times New Roman" w:hAnsi="Calibri" w:cs="Calibri"/>
          <w:color w:val="000000"/>
        </w:rPr>
        <w:t>. Dependents of students on leave who were not enrolled in the MIT Student Health Insurance Plan at the time the leave begins may not enroll in the MIT Student Health Insurance Plan at any time during the leave</w:t>
      </w:r>
      <w:r w:rsidR="00A735CF" w:rsidRPr="0090051E">
        <w:rPr>
          <w:rFonts w:ascii="Calibri" w:eastAsia="Times New Roman" w:hAnsi="Calibri" w:cs="Calibri"/>
          <w:color w:val="000000"/>
        </w:rPr>
        <w:t>, with the exception of during an Open Enrollment period or as a result of a qualifying event</w:t>
      </w:r>
      <w:r w:rsidRPr="0090051E">
        <w:rPr>
          <w:rFonts w:ascii="Calibri" w:eastAsia="Times New Roman" w:hAnsi="Calibri" w:cs="Calibri"/>
          <w:color w:val="000000"/>
        </w:rPr>
        <w:t>.</w:t>
      </w:r>
    </w:p>
    <w:p w14:paraId="52023462" w14:textId="01320DE6" w:rsidR="00CD7145" w:rsidRPr="0090051E" w:rsidRDefault="00CD7145" w:rsidP="00CD7145">
      <w:pPr>
        <w:spacing w:after="0" w:line="240" w:lineRule="auto"/>
        <w:rPr>
          <w:rFonts w:ascii="Calibri" w:eastAsia="Times New Roman" w:hAnsi="Calibri" w:cs="Calibri"/>
          <w:color w:val="000000"/>
        </w:rPr>
      </w:pPr>
    </w:p>
    <w:p w14:paraId="39A0845F" w14:textId="09607B36" w:rsidR="00CD7145" w:rsidRPr="0090051E" w:rsidRDefault="00CD7145" w:rsidP="00CD7145">
      <w:pPr>
        <w:spacing w:after="0" w:line="240" w:lineRule="auto"/>
        <w:rPr>
          <w:rFonts w:ascii="Calibri" w:eastAsia="Times New Roman" w:hAnsi="Calibri" w:cs="Calibri"/>
          <w:color w:val="000000"/>
        </w:rPr>
      </w:pPr>
      <w:r w:rsidRPr="0090051E">
        <w:rPr>
          <w:rFonts w:ascii="Calibri" w:eastAsia="Times New Roman" w:hAnsi="Calibri" w:cs="Calibri"/>
          <w:color w:val="000000"/>
        </w:rPr>
        <w:t>Enrollment in the MIT Student Health Insurance Plan will terminate as of the last day of the month in which eligibility ends.</w:t>
      </w:r>
    </w:p>
    <w:p w14:paraId="728BFE01" w14:textId="77777777" w:rsidR="00953525" w:rsidRPr="0090051E" w:rsidRDefault="00953525" w:rsidP="00D70042"/>
    <w:p w14:paraId="7F9C4F7D" w14:textId="3EC56CBF" w:rsidR="003A1151" w:rsidRPr="0090051E" w:rsidRDefault="003A1151" w:rsidP="00D70042">
      <w:pPr>
        <w:pStyle w:val="Heading2"/>
        <w:spacing w:before="0" w:after="120"/>
        <w:rPr>
          <w:i/>
          <w:color w:val="auto"/>
        </w:rPr>
      </w:pPr>
      <w:bookmarkStart w:id="18" w:name="_1.11_Other_Leaves"/>
      <w:bookmarkStart w:id="19" w:name="_1.8_Other_Leaves"/>
      <w:bookmarkStart w:id="20" w:name="_Toc232415484"/>
      <w:bookmarkEnd w:id="18"/>
      <w:bookmarkEnd w:id="19"/>
      <w:r w:rsidRPr="0090051E">
        <w:rPr>
          <w:i/>
          <w:color w:val="auto"/>
        </w:rPr>
        <w:t>1.</w:t>
      </w:r>
      <w:r w:rsidR="009D6192">
        <w:rPr>
          <w:i/>
          <w:color w:val="auto"/>
        </w:rPr>
        <w:t>10</w:t>
      </w:r>
      <w:r w:rsidRPr="0090051E">
        <w:rPr>
          <w:i/>
          <w:color w:val="auto"/>
        </w:rPr>
        <w:t xml:space="preserve"> </w:t>
      </w:r>
      <w:r w:rsidR="004B078A" w:rsidRPr="0090051E">
        <w:rPr>
          <w:i/>
          <w:color w:val="auto"/>
        </w:rPr>
        <w:t>Other Leave</w:t>
      </w:r>
      <w:r w:rsidR="004E1F88" w:rsidRPr="0090051E">
        <w:rPr>
          <w:i/>
          <w:color w:val="auto"/>
        </w:rPr>
        <w:t>s and Changes in Student Status</w:t>
      </w:r>
      <w:bookmarkEnd w:id="20"/>
    </w:p>
    <w:p w14:paraId="4B64B31E" w14:textId="76328F71" w:rsidR="003A1151" w:rsidRPr="0090051E" w:rsidRDefault="00CA310E" w:rsidP="004513B0">
      <w:r w:rsidRPr="0090051E">
        <w:t>For s</w:t>
      </w:r>
      <w:r w:rsidR="003A1151" w:rsidRPr="0090051E">
        <w:t xml:space="preserve">tudents </w:t>
      </w:r>
      <w:r w:rsidR="004B078A" w:rsidRPr="0090051E">
        <w:t>on a personal leave</w:t>
      </w:r>
      <w:r w:rsidR="004E1F88" w:rsidRPr="0090051E">
        <w:t>, graduate students who have received a denial of further registration,</w:t>
      </w:r>
      <w:r w:rsidR="004B078A" w:rsidRPr="0090051E">
        <w:t xml:space="preserve"> </w:t>
      </w:r>
      <w:r w:rsidR="00D26B96" w:rsidRPr="0090051E">
        <w:t xml:space="preserve">or </w:t>
      </w:r>
      <w:r w:rsidR="006B1E17" w:rsidRPr="0090051E">
        <w:t xml:space="preserve">permanent </w:t>
      </w:r>
      <w:r w:rsidR="00D26B96" w:rsidRPr="0090051E">
        <w:t>separation from the Institute</w:t>
      </w:r>
      <w:r w:rsidRPr="0090051E">
        <w:t>,</w:t>
      </w:r>
      <w:r w:rsidR="00D26B96" w:rsidRPr="0090051E">
        <w:t xml:space="preserve"> </w:t>
      </w:r>
      <w:r w:rsidR="007208CC" w:rsidRPr="0090051E">
        <w:t xml:space="preserve">coverage </w:t>
      </w:r>
      <w:r w:rsidRPr="0090051E">
        <w:t xml:space="preserve">will end as of the </w:t>
      </w:r>
      <w:r w:rsidR="003E4544" w:rsidRPr="0090051E">
        <w:t>as of the date of notification</w:t>
      </w:r>
      <w:r w:rsidR="007208CC" w:rsidRPr="0090051E">
        <w:t xml:space="preserve">. </w:t>
      </w:r>
      <w:r w:rsidR="004513B0" w:rsidRPr="0090051E">
        <w:t>Coverage for all</w:t>
      </w:r>
      <w:r w:rsidR="007208CC" w:rsidRPr="0090051E">
        <w:t xml:space="preserve"> enrolled </w:t>
      </w:r>
      <w:r w:rsidR="004513B0" w:rsidRPr="0090051E">
        <w:t>dependents</w:t>
      </w:r>
      <w:r w:rsidR="007208CC" w:rsidRPr="0090051E">
        <w:t xml:space="preserve"> of these students will </w:t>
      </w:r>
      <w:r w:rsidR="004513B0" w:rsidRPr="0090051E">
        <w:t>end on the same day the student’s coverage ends.</w:t>
      </w:r>
    </w:p>
    <w:p w14:paraId="71B72F13" w14:textId="77777777" w:rsidR="00150CBD" w:rsidRPr="0090051E" w:rsidRDefault="00150CBD" w:rsidP="00D70042"/>
    <w:p w14:paraId="73E30F31" w14:textId="537DE15B" w:rsidR="00425134" w:rsidRPr="0090051E" w:rsidRDefault="00425134" w:rsidP="00425134">
      <w:pPr>
        <w:pStyle w:val="Heading2"/>
        <w:spacing w:before="0" w:after="120"/>
        <w:rPr>
          <w:i/>
          <w:color w:val="auto"/>
        </w:rPr>
      </w:pPr>
      <w:bookmarkStart w:id="21" w:name="_Toc232415485"/>
      <w:r w:rsidRPr="0090051E">
        <w:rPr>
          <w:i/>
          <w:color w:val="auto"/>
        </w:rPr>
        <w:t>1.1</w:t>
      </w:r>
      <w:r w:rsidR="009D6192">
        <w:rPr>
          <w:i/>
          <w:color w:val="auto"/>
        </w:rPr>
        <w:t>1</w:t>
      </w:r>
      <w:r w:rsidRPr="0090051E">
        <w:rPr>
          <w:i/>
          <w:color w:val="auto"/>
        </w:rPr>
        <w:t xml:space="preserve"> Medicare Eligible Students</w:t>
      </w:r>
      <w:bookmarkEnd w:id="21"/>
    </w:p>
    <w:p w14:paraId="68CAB32C" w14:textId="65D73280" w:rsidR="00425134" w:rsidRPr="0090051E" w:rsidRDefault="00425134" w:rsidP="00425134">
      <w:r w:rsidRPr="0090051E">
        <w:t>For students aged 65 or older, as well as other individuals eligible for Medicare, enrolled in the MIT Student Health Insurance Plan, it is important to be aware that the plan will always be the secondary payer to Medicare if the student is eligible for Medicare, regardless of Medicare enrollment status. Students who are Medicare eligible but not enrolled may have claims denied by Blue Cross Blue Shield of Massachusetts and be subject to significant personal financial liability.</w:t>
      </w:r>
    </w:p>
    <w:p w14:paraId="208CEEF5" w14:textId="77777777" w:rsidR="00425134" w:rsidRPr="0090051E" w:rsidRDefault="00425134" w:rsidP="00D70042"/>
    <w:p w14:paraId="713850C0" w14:textId="16C4F3A2" w:rsidR="00A12EB3" w:rsidRPr="0090051E" w:rsidRDefault="008643BD" w:rsidP="00D70042">
      <w:pPr>
        <w:pStyle w:val="Heading2"/>
        <w:spacing w:before="0" w:after="120"/>
        <w:rPr>
          <w:i/>
          <w:color w:val="auto"/>
        </w:rPr>
      </w:pPr>
      <w:bookmarkStart w:id="22" w:name="_Toc232415486"/>
      <w:r w:rsidRPr="0090051E">
        <w:rPr>
          <w:i/>
          <w:color w:val="auto"/>
        </w:rPr>
        <w:t>1.</w:t>
      </w:r>
      <w:r w:rsidR="00451ADB" w:rsidRPr="0090051E">
        <w:rPr>
          <w:i/>
          <w:color w:val="auto"/>
        </w:rPr>
        <w:t>1</w:t>
      </w:r>
      <w:r w:rsidR="009D6192">
        <w:rPr>
          <w:i/>
          <w:color w:val="auto"/>
        </w:rPr>
        <w:t>2</w:t>
      </w:r>
      <w:r w:rsidRPr="0090051E">
        <w:rPr>
          <w:i/>
          <w:color w:val="auto"/>
        </w:rPr>
        <w:t xml:space="preserve"> Exclusions</w:t>
      </w:r>
      <w:bookmarkEnd w:id="22"/>
    </w:p>
    <w:p w14:paraId="187EC133" w14:textId="010D8D2D" w:rsidR="00DA7220" w:rsidRPr="0090051E" w:rsidRDefault="00873983" w:rsidP="00D70042">
      <w:r w:rsidRPr="0090051E">
        <w:t>An individual who is not included in any of the student categories listed in Sections 1.1 through 1.</w:t>
      </w:r>
      <w:r w:rsidR="00451ADB" w:rsidRPr="0090051E">
        <w:t>9</w:t>
      </w:r>
      <w:r w:rsidRPr="0090051E">
        <w:t xml:space="preserve">, without regard to the use of the terminology “student” by any </w:t>
      </w:r>
      <w:r w:rsidR="004B7BF8" w:rsidRPr="0090051E">
        <w:t>D</w:t>
      </w:r>
      <w:r w:rsidRPr="0090051E">
        <w:t xml:space="preserve">epartment, </w:t>
      </w:r>
      <w:r w:rsidR="004B7BF8" w:rsidRPr="0090051E">
        <w:t>L</w:t>
      </w:r>
      <w:r w:rsidRPr="0090051E">
        <w:t>aboratory</w:t>
      </w:r>
      <w:r w:rsidR="004B7BF8" w:rsidRPr="0090051E">
        <w:t>, Center or Institute (DLCI)</w:t>
      </w:r>
      <w:r w:rsidRPr="0090051E">
        <w:t xml:space="preserve">, is ineligible for coverage in the </w:t>
      </w:r>
      <w:r w:rsidR="00E5735C" w:rsidRPr="0090051E">
        <w:t>MIT Student Health Insurance Plan</w:t>
      </w:r>
      <w:r w:rsidRPr="0090051E">
        <w:t>. In addition, t</w:t>
      </w:r>
      <w:r w:rsidR="00DA7220" w:rsidRPr="0090051E">
        <w:t>he following individuals are not considered as student</w:t>
      </w:r>
      <w:r w:rsidRPr="0090051E">
        <w:t>s</w:t>
      </w:r>
      <w:r w:rsidR="00DA7220" w:rsidRPr="0090051E">
        <w:t xml:space="preserve"> for health insurance eligibility purposes:</w:t>
      </w:r>
    </w:p>
    <w:p w14:paraId="4840D97B" w14:textId="435CC7B8" w:rsidR="003E4FB2" w:rsidRPr="0090051E" w:rsidRDefault="003E4FB2">
      <w:pPr>
        <w:pStyle w:val="ListParagraph"/>
        <w:numPr>
          <w:ilvl w:val="0"/>
          <w:numId w:val="11"/>
        </w:numPr>
      </w:pPr>
      <w:r w:rsidRPr="0090051E">
        <w:lastRenderedPageBreak/>
        <w:t xml:space="preserve">Individuals participating in the </w:t>
      </w:r>
      <w:r w:rsidR="00CE7579" w:rsidRPr="0090051E">
        <w:t xml:space="preserve">Interphase, </w:t>
      </w:r>
      <w:r w:rsidRPr="0090051E">
        <w:t>Minority Introduction to Engineering and Science (MITES)</w:t>
      </w:r>
      <w:r w:rsidR="00C902C8" w:rsidRPr="0090051E">
        <w:t>, Research Science Institute (RSI) and Women’s Technology Program (WTP) summer</w:t>
      </w:r>
      <w:r w:rsidRPr="0090051E">
        <w:t xml:space="preserve"> program</w:t>
      </w:r>
      <w:r w:rsidR="00C902C8" w:rsidRPr="0090051E">
        <w:t>s</w:t>
      </w:r>
      <w:r w:rsidRPr="0090051E">
        <w:t>;</w:t>
      </w:r>
    </w:p>
    <w:p w14:paraId="1B05BE19" w14:textId="77777777" w:rsidR="003E4FB2" w:rsidRPr="0090051E" w:rsidRDefault="00A47494">
      <w:pPr>
        <w:pStyle w:val="ListParagraph"/>
        <w:numPr>
          <w:ilvl w:val="0"/>
          <w:numId w:val="11"/>
        </w:numPr>
      </w:pPr>
      <w:r w:rsidRPr="0090051E">
        <w:t>Individuals participating in the Special Program for Urban and Regional Studies (SPURS);</w:t>
      </w:r>
    </w:p>
    <w:p w14:paraId="230184EB" w14:textId="20745C20" w:rsidR="000701C2" w:rsidRPr="0090051E" w:rsidRDefault="003E4FB2">
      <w:pPr>
        <w:pStyle w:val="ListParagraph"/>
        <w:numPr>
          <w:ilvl w:val="0"/>
          <w:numId w:val="11"/>
        </w:numPr>
      </w:pPr>
      <w:r w:rsidRPr="0090051E">
        <w:t xml:space="preserve">Individuals participating in an Independent Activities Period </w:t>
      </w:r>
      <w:r w:rsidR="00C902C8" w:rsidRPr="0090051E">
        <w:t xml:space="preserve">(IAP) </w:t>
      </w:r>
      <w:r w:rsidR="00CA0125" w:rsidRPr="0090051E">
        <w:t>who are</w:t>
      </w:r>
      <w:r w:rsidRPr="0090051E">
        <w:t xml:space="preserve"> not registered as an MIT student; </w:t>
      </w:r>
    </w:p>
    <w:p w14:paraId="043CF6FF" w14:textId="04F41D70" w:rsidR="003E39F3" w:rsidRPr="0090051E" w:rsidRDefault="003E39F3">
      <w:pPr>
        <w:pStyle w:val="ListParagraph"/>
        <w:numPr>
          <w:ilvl w:val="0"/>
          <w:numId w:val="11"/>
        </w:numPr>
      </w:pPr>
      <w:r w:rsidRPr="0090051E">
        <w:t>Individuals participating in the Asia Business School program;</w:t>
      </w:r>
    </w:p>
    <w:p w14:paraId="4BB85273" w14:textId="77777777" w:rsidR="00663AAC" w:rsidRPr="0090051E" w:rsidRDefault="003E39F3">
      <w:pPr>
        <w:pStyle w:val="ListParagraph"/>
        <w:numPr>
          <w:ilvl w:val="0"/>
          <w:numId w:val="11"/>
        </w:numPr>
      </w:pPr>
      <w:r w:rsidRPr="0090051E">
        <w:t xml:space="preserve">Individuals participating in the Lisbon MBA program; </w:t>
      </w:r>
    </w:p>
    <w:p w14:paraId="31DC34A2" w14:textId="052C003B" w:rsidR="003E39F3" w:rsidRPr="0090051E" w:rsidRDefault="00663AAC">
      <w:pPr>
        <w:pStyle w:val="ListParagraph"/>
        <w:numPr>
          <w:ilvl w:val="0"/>
          <w:numId w:val="11"/>
        </w:numPr>
        <w:rPr>
          <w:rFonts w:ascii="Calibri" w:eastAsia="Times New Roman" w:hAnsi="Calibri" w:cs="Calibri"/>
          <w:color w:val="000000"/>
        </w:rPr>
      </w:pPr>
      <w:r w:rsidRPr="0090051E">
        <w:rPr>
          <w:rFonts w:ascii="Calibri" w:eastAsia="Times New Roman" w:hAnsi="Calibri" w:cs="Calibri"/>
          <w:color w:val="000000"/>
        </w:rPr>
        <w:t>Individuals participating in the Parthenope University of Naples program; and</w:t>
      </w:r>
    </w:p>
    <w:p w14:paraId="2088BE48" w14:textId="2EB8D307" w:rsidR="00663AAC" w:rsidRPr="0090051E" w:rsidRDefault="00663AAC">
      <w:pPr>
        <w:pStyle w:val="ListParagraph"/>
        <w:numPr>
          <w:ilvl w:val="0"/>
          <w:numId w:val="11"/>
        </w:numPr>
      </w:pPr>
      <w:r w:rsidRPr="0090051E">
        <w:t xml:space="preserve">Individuals participating in the </w:t>
      </w:r>
      <w:r w:rsidRPr="0090051E">
        <w:rPr>
          <w:rFonts w:ascii="Calibri" w:eastAsia="Times New Roman" w:hAnsi="Calibri" w:cs="Calibri"/>
          <w:color w:val="000000"/>
        </w:rPr>
        <w:t>Queensland University of Technology Business School program.</w:t>
      </w:r>
    </w:p>
    <w:p w14:paraId="4C916B08" w14:textId="40F18706" w:rsidR="00D4409F" w:rsidRPr="0090051E" w:rsidRDefault="00944276" w:rsidP="00D70042">
      <w:r w:rsidRPr="0090051E">
        <w:t xml:space="preserve">Any student who is eligible for health insurance coverage provided by MIT as an employee, regardless of their enrollment status, is ineligible for coverage in the </w:t>
      </w:r>
      <w:r w:rsidR="00E5735C" w:rsidRPr="0090051E">
        <w:t>MIT Student Health Insurance Plan</w:t>
      </w:r>
      <w:r w:rsidR="00403563" w:rsidRPr="0090051E">
        <w:t>.</w:t>
      </w:r>
    </w:p>
    <w:p w14:paraId="01C3E6BB" w14:textId="77777777" w:rsidR="005C706E" w:rsidRPr="0090051E" w:rsidRDefault="005C706E" w:rsidP="00D70042"/>
    <w:p w14:paraId="537738B9" w14:textId="7CB20FFA" w:rsidR="00032F89" w:rsidRPr="0090051E" w:rsidRDefault="00032F89" w:rsidP="00D70042">
      <w:pPr>
        <w:pStyle w:val="Heading2"/>
        <w:spacing w:before="0" w:after="120"/>
        <w:rPr>
          <w:i/>
          <w:color w:val="auto"/>
        </w:rPr>
      </w:pPr>
      <w:bookmarkStart w:id="23" w:name="_Toc232415487"/>
      <w:r w:rsidRPr="0090051E">
        <w:rPr>
          <w:i/>
          <w:color w:val="auto"/>
        </w:rPr>
        <w:t>1.</w:t>
      </w:r>
      <w:r w:rsidR="00004E1B" w:rsidRPr="0090051E">
        <w:rPr>
          <w:i/>
          <w:color w:val="auto"/>
        </w:rPr>
        <w:t>1</w:t>
      </w:r>
      <w:r w:rsidR="009D6192">
        <w:rPr>
          <w:i/>
          <w:color w:val="auto"/>
        </w:rPr>
        <w:t>3</w:t>
      </w:r>
      <w:r w:rsidRPr="0090051E">
        <w:rPr>
          <w:i/>
          <w:color w:val="auto"/>
        </w:rPr>
        <w:t xml:space="preserve"> Notification in Change of Status</w:t>
      </w:r>
      <w:bookmarkEnd w:id="23"/>
    </w:p>
    <w:p w14:paraId="1FC7F22B" w14:textId="40AFAE23" w:rsidR="008D5891" w:rsidRPr="0090051E" w:rsidRDefault="008D2419" w:rsidP="00D70042">
      <w:r w:rsidRPr="0090051E">
        <w:t xml:space="preserve">All notifications of a change in the status of a student </w:t>
      </w:r>
      <w:r w:rsidR="008D5891" w:rsidRPr="0090051E">
        <w:t>which would affect their eligibility</w:t>
      </w:r>
      <w:r w:rsidRPr="0090051E">
        <w:t xml:space="preserve"> will be provided to </w:t>
      </w:r>
      <w:r w:rsidR="00D43DC1" w:rsidRPr="0090051E">
        <w:t>the MIT Student Insurance Office</w:t>
      </w:r>
      <w:r w:rsidRPr="0090051E">
        <w:t xml:space="preserve"> by the MIT Registrar’s Office.</w:t>
      </w:r>
      <w:r w:rsidR="008D5891" w:rsidRPr="0090051E">
        <w:t xml:space="preserve"> No changes in status will be accepted directly </w:t>
      </w:r>
      <w:r w:rsidR="00573253" w:rsidRPr="0090051E">
        <w:t xml:space="preserve">by </w:t>
      </w:r>
      <w:r w:rsidR="008D5891" w:rsidRPr="0090051E">
        <w:t xml:space="preserve">any </w:t>
      </w:r>
      <w:r w:rsidRPr="0090051E">
        <w:t>student</w:t>
      </w:r>
      <w:r w:rsidR="00C91FF3" w:rsidRPr="0090051E">
        <w:t xml:space="preserve">s, </w:t>
      </w:r>
      <w:r w:rsidR="008D5891" w:rsidRPr="0090051E">
        <w:t>their dependents</w:t>
      </w:r>
      <w:r w:rsidR="00C91FF3" w:rsidRPr="0090051E">
        <w:t xml:space="preserve"> or any </w:t>
      </w:r>
      <w:r w:rsidR="004B7BF8" w:rsidRPr="0090051E">
        <w:t>Department, Laboratory, Center or Institute</w:t>
      </w:r>
      <w:r w:rsidR="00C91FF3" w:rsidRPr="0090051E">
        <w:t>.</w:t>
      </w:r>
    </w:p>
    <w:p w14:paraId="54A227BF" w14:textId="77777777" w:rsidR="00032F89" w:rsidRPr="0090051E" w:rsidRDefault="00032F89" w:rsidP="00D70042"/>
    <w:p w14:paraId="6BDBB934" w14:textId="6034586E" w:rsidR="005C706E" w:rsidRPr="0090051E" w:rsidRDefault="005C706E" w:rsidP="00D70042">
      <w:pPr>
        <w:pStyle w:val="Heading2"/>
        <w:spacing w:before="0" w:after="120"/>
        <w:rPr>
          <w:i/>
          <w:color w:val="auto"/>
        </w:rPr>
      </w:pPr>
      <w:bookmarkStart w:id="24" w:name="_Toc232415488"/>
      <w:r w:rsidRPr="0090051E">
        <w:rPr>
          <w:i/>
          <w:color w:val="auto"/>
        </w:rPr>
        <w:t>1.</w:t>
      </w:r>
      <w:r w:rsidR="003A1151" w:rsidRPr="0090051E">
        <w:rPr>
          <w:i/>
          <w:color w:val="auto"/>
        </w:rPr>
        <w:t>1</w:t>
      </w:r>
      <w:r w:rsidR="009D6192">
        <w:rPr>
          <w:i/>
          <w:color w:val="auto"/>
        </w:rPr>
        <w:t>4</w:t>
      </w:r>
      <w:r w:rsidRPr="0090051E">
        <w:rPr>
          <w:i/>
          <w:color w:val="auto"/>
        </w:rPr>
        <w:t xml:space="preserve"> Additional Requirements for J-1 and J-2 Visa Holders</w:t>
      </w:r>
      <w:bookmarkEnd w:id="24"/>
    </w:p>
    <w:p w14:paraId="675CF287" w14:textId="77777777" w:rsidR="005C706E" w:rsidRPr="0090051E" w:rsidRDefault="005C706E" w:rsidP="00D70042">
      <w:r w:rsidRPr="0090051E">
        <w:t xml:space="preserve">Eligible students with a J-1 visa, as well as all dependents with J-2 visas, are required to have health insurance that meets U.S. Department of State requirements for the duration of participation </w:t>
      </w:r>
      <w:r w:rsidR="007C1618" w:rsidRPr="0090051E">
        <w:t xml:space="preserve">in the </w:t>
      </w:r>
      <w:r w:rsidRPr="0090051E">
        <w:t>exchange visitor program. Failure to have and maintain required coverage may lead to loss of legal immigration status.</w:t>
      </w:r>
    </w:p>
    <w:p w14:paraId="0840D390" w14:textId="780B6027" w:rsidR="00222D03" w:rsidRPr="0090051E" w:rsidRDefault="005C706E" w:rsidP="00D70042">
      <w:r w:rsidRPr="0090051E">
        <w:t xml:space="preserve">Eligible students with a J-1 visa, as well as eligible dependents with J-2 visas, may enroll in the </w:t>
      </w:r>
      <w:r w:rsidR="00E5735C" w:rsidRPr="0090051E">
        <w:t>MIT Student Health Insurance Plan</w:t>
      </w:r>
      <w:r w:rsidRPr="0090051E">
        <w:t xml:space="preserve">, which meets all U.S. Department of State </w:t>
      </w:r>
      <w:r w:rsidR="00EB5642" w:rsidRPr="0090051E">
        <w:t xml:space="preserve">health insurance </w:t>
      </w:r>
      <w:r w:rsidRPr="0090051E">
        <w:t xml:space="preserve">requirements for J-1 and J-2 visa holders. Eligible </w:t>
      </w:r>
      <w:r w:rsidR="0004459A" w:rsidRPr="0090051E">
        <w:t>students</w:t>
      </w:r>
      <w:r w:rsidRPr="0090051E">
        <w:t xml:space="preserve"> who do not enroll in the </w:t>
      </w:r>
      <w:r w:rsidR="00E5735C" w:rsidRPr="0090051E">
        <w:t xml:space="preserve">MIT Student Health Insurance Plan </w:t>
      </w:r>
      <w:r w:rsidRPr="0090051E">
        <w:t xml:space="preserve">must meet the waiver requirements detailed in </w:t>
      </w:r>
      <w:hyperlink w:anchor="_6.0_Waivers" w:history="1">
        <w:r w:rsidR="00222D03" w:rsidRPr="0090051E">
          <w:rPr>
            <w:rStyle w:val="Hyperlink"/>
          </w:rPr>
          <w:t>Section 6.0</w:t>
        </w:r>
      </w:hyperlink>
      <w:r w:rsidRPr="0090051E">
        <w:t>, as well as all applicable U.S. Department of State requirements.</w:t>
      </w:r>
    </w:p>
    <w:p w14:paraId="73D121F2" w14:textId="362A7BEC" w:rsidR="005C706E" w:rsidRPr="0090051E" w:rsidRDefault="00222D03" w:rsidP="00D70042">
      <w:r w:rsidRPr="0090051E">
        <w:t xml:space="preserve">Coverage in the MIT Student Health Insurance Plan begins consentient with timelines defined in </w:t>
      </w:r>
      <w:hyperlink w:anchor="_5.2_Initial_Enrollment" w:history="1">
        <w:r w:rsidRPr="0090051E">
          <w:rPr>
            <w:rStyle w:val="Hyperlink"/>
          </w:rPr>
          <w:t>Section 5.2</w:t>
        </w:r>
      </w:hyperlink>
      <w:r w:rsidRPr="0090051E">
        <w:t xml:space="preserve"> regardless of the date on which the visa holder arrives in the United States. It is the responsibility of the visa holder to be in compliance with any health insurance requirements prior to the </w:t>
      </w:r>
      <w:r w:rsidR="00F00BF8" w:rsidRPr="0090051E">
        <w:t>start of coverage in the MIT Student Health Insurance Plan.</w:t>
      </w:r>
    </w:p>
    <w:p w14:paraId="39103940" w14:textId="1A56A786" w:rsidR="000E09BC" w:rsidRPr="0090051E" w:rsidRDefault="000E09BC" w:rsidP="00D70042">
      <w:r w:rsidRPr="0090051E">
        <w:t>Holding a J-1/J-2 visa, alone, does not make an individual a</w:t>
      </w:r>
      <w:r w:rsidR="004561FA" w:rsidRPr="0090051E">
        <w:t>n eligible</w:t>
      </w:r>
      <w:r w:rsidRPr="0090051E">
        <w:t xml:space="preserve"> student who can purchase the </w:t>
      </w:r>
      <w:r w:rsidR="00E5735C" w:rsidRPr="0090051E">
        <w:t>MIT Student Health Insurance Plan</w:t>
      </w:r>
      <w:r w:rsidRPr="0090051E">
        <w:t>.</w:t>
      </w:r>
    </w:p>
    <w:p w14:paraId="143124A7" w14:textId="77777777" w:rsidR="001C4F5F" w:rsidRPr="0090051E" w:rsidRDefault="001C4F5F" w:rsidP="00D70042">
      <w:pPr>
        <w:pStyle w:val="Heading1"/>
        <w:spacing w:before="0" w:after="240"/>
        <w:rPr>
          <w:b/>
          <w:color w:val="C00000"/>
        </w:rPr>
        <w:sectPr w:rsidR="001C4F5F" w:rsidRPr="0090051E" w:rsidSect="00BA68BD">
          <w:headerReference w:type="even" r:id="rId12"/>
          <w:headerReference w:type="default" r:id="rId13"/>
          <w:footerReference w:type="default" r:id="rId14"/>
          <w:headerReference w:type="first" r:id="rId15"/>
          <w:pgSz w:w="12240" w:h="15840"/>
          <w:pgMar w:top="1440" w:right="1440" w:bottom="1440" w:left="1440" w:header="720" w:footer="720" w:gutter="0"/>
          <w:pgNumType w:start="1"/>
          <w:cols w:space="720"/>
          <w:docGrid w:linePitch="360"/>
        </w:sectPr>
      </w:pPr>
    </w:p>
    <w:p w14:paraId="1D1DE1BF" w14:textId="7D54FA0C" w:rsidR="00C42205" w:rsidRPr="0090051E" w:rsidRDefault="00107F0D" w:rsidP="00D70042">
      <w:pPr>
        <w:pStyle w:val="Heading1"/>
        <w:spacing w:before="0" w:after="240"/>
        <w:rPr>
          <w:b/>
          <w:color w:val="C00000"/>
        </w:rPr>
      </w:pPr>
      <w:bookmarkStart w:id="25" w:name="_2.0_Visiting_Students"/>
      <w:bookmarkStart w:id="26" w:name="_Toc232415489"/>
      <w:bookmarkEnd w:id="25"/>
      <w:r w:rsidRPr="0090051E">
        <w:rPr>
          <w:b/>
          <w:color w:val="C00000"/>
        </w:rPr>
        <w:lastRenderedPageBreak/>
        <w:t>2</w:t>
      </w:r>
      <w:r w:rsidR="00C42205" w:rsidRPr="0090051E">
        <w:rPr>
          <w:b/>
          <w:color w:val="C00000"/>
        </w:rPr>
        <w:t xml:space="preserve">.0 </w:t>
      </w:r>
      <w:r w:rsidRPr="0090051E">
        <w:rPr>
          <w:b/>
          <w:color w:val="C00000"/>
        </w:rPr>
        <w:t>Visiting Students</w:t>
      </w:r>
      <w:bookmarkEnd w:id="26"/>
    </w:p>
    <w:p w14:paraId="1E6A1748" w14:textId="4EE5963C" w:rsidR="00C42205" w:rsidRPr="0090051E" w:rsidRDefault="00107F0D" w:rsidP="00D70042">
      <w:pPr>
        <w:pStyle w:val="Heading2"/>
        <w:spacing w:before="0" w:after="120"/>
        <w:rPr>
          <w:i/>
          <w:color w:val="auto"/>
        </w:rPr>
      </w:pPr>
      <w:bookmarkStart w:id="27" w:name="_2.1_Definition"/>
      <w:bookmarkStart w:id="28" w:name="_Toc232415490"/>
      <w:bookmarkEnd w:id="27"/>
      <w:r w:rsidRPr="0090051E">
        <w:rPr>
          <w:i/>
          <w:color w:val="auto"/>
        </w:rPr>
        <w:t>2</w:t>
      </w:r>
      <w:r w:rsidR="00C42205" w:rsidRPr="0090051E">
        <w:rPr>
          <w:i/>
          <w:color w:val="auto"/>
        </w:rPr>
        <w:t>.1 Definition</w:t>
      </w:r>
      <w:bookmarkEnd w:id="28"/>
    </w:p>
    <w:p w14:paraId="0A57AB5E" w14:textId="5A614082" w:rsidR="00312B9F" w:rsidRPr="0090051E" w:rsidRDefault="00107F0D" w:rsidP="00D70042">
      <w:r w:rsidRPr="0090051E">
        <w:t xml:space="preserve">Visiting students are individuals pursuing an undergraduate or graduate degree at an institution of higher education other than MIT who have been invited to MIT by a </w:t>
      </w:r>
      <w:r w:rsidR="004B7BF8" w:rsidRPr="0090051E">
        <w:t xml:space="preserve">Department, Laboratory, Center or Institute </w:t>
      </w:r>
      <w:r w:rsidRPr="0090051E">
        <w:t>to do research in their fields of study</w:t>
      </w:r>
      <w:r w:rsidR="000B0FD3" w:rsidRPr="0090051E">
        <w:t>.</w:t>
      </w:r>
    </w:p>
    <w:p w14:paraId="11CD624A" w14:textId="50AF710D" w:rsidR="00107F0D" w:rsidRPr="0090051E" w:rsidRDefault="00107F0D" w:rsidP="00D70042">
      <w:r w:rsidRPr="0090051E">
        <w:t>Visiting students have a defined</w:t>
      </w:r>
      <w:r w:rsidR="00114258" w:rsidRPr="0090051E">
        <w:t xml:space="preserve"> registration</w:t>
      </w:r>
      <w:r w:rsidRPr="0090051E">
        <w:t xml:space="preserve"> period, not less than </w:t>
      </w:r>
      <w:r w:rsidR="00312B9F" w:rsidRPr="0090051E">
        <w:t>one (1) month</w:t>
      </w:r>
      <w:r w:rsidR="00EC0854" w:rsidRPr="0090051E">
        <w:t xml:space="preserve"> </w:t>
      </w:r>
      <w:r w:rsidRPr="0090051E">
        <w:t xml:space="preserve">and not to exceed one </w:t>
      </w:r>
      <w:r w:rsidR="00A43092" w:rsidRPr="0090051E">
        <w:t xml:space="preserve">(1) </w:t>
      </w:r>
      <w:r w:rsidRPr="0090051E">
        <w:t>year. Periods may not be consecutive.</w:t>
      </w:r>
    </w:p>
    <w:p w14:paraId="420C0F6A" w14:textId="77777777" w:rsidR="00107F0D" w:rsidRPr="0090051E" w:rsidRDefault="00107F0D" w:rsidP="00D70042"/>
    <w:p w14:paraId="004E36FF" w14:textId="0E7A634F" w:rsidR="00E72FD4" w:rsidRPr="0090051E" w:rsidRDefault="00107F0D" w:rsidP="00D70042">
      <w:pPr>
        <w:pStyle w:val="Heading2"/>
        <w:spacing w:before="0" w:after="120"/>
        <w:rPr>
          <w:i/>
          <w:color w:val="auto"/>
        </w:rPr>
      </w:pPr>
      <w:bookmarkStart w:id="29" w:name="_Toc232415491"/>
      <w:r w:rsidRPr="0090051E">
        <w:rPr>
          <w:i/>
          <w:color w:val="auto"/>
        </w:rPr>
        <w:t>2</w:t>
      </w:r>
      <w:r w:rsidR="00E72FD4" w:rsidRPr="0090051E">
        <w:rPr>
          <w:i/>
          <w:color w:val="auto"/>
        </w:rPr>
        <w:t>.2 Eligibility</w:t>
      </w:r>
      <w:bookmarkEnd w:id="29"/>
    </w:p>
    <w:p w14:paraId="53A076A7" w14:textId="2E086050" w:rsidR="00E72FD4" w:rsidRPr="0090051E" w:rsidRDefault="00107F0D" w:rsidP="00D70042">
      <w:r w:rsidRPr="0090051E">
        <w:t>Visiting students</w:t>
      </w:r>
      <w:r w:rsidR="00E72FD4" w:rsidRPr="0090051E">
        <w:t xml:space="preserve"> who meet all of the following conditions will be considered as eligible</w:t>
      </w:r>
      <w:r w:rsidR="00573253" w:rsidRPr="0090051E">
        <w:t xml:space="preserve"> for</w:t>
      </w:r>
      <w:r w:rsidR="00E72FD4" w:rsidRPr="0090051E">
        <w:t xml:space="preserve"> health insurance purposes:</w:t>
      </w:r>
    </w:p>
    <w:p w14:paraId="4DF4D057" w14:textId="1935E702" w:rsidR="00E72FD4" w:rsidRPr="0090051E" w:rsidRDefault="00E72FD4">
      <w:pPr>
        <w:pStyle w:val="ListParagraph"/>
        <w:numPr>
          <w:ilvl w:val="0"/>
          <w:numId w:val="12"/>
        </w:numPr>
      </w:pPr>
      <w:r w:rsidRPr="0090051E">
        <w:t>Registered in Course NIV;</w:t>
      </w:r>
      <w:r w:rsidR="00107F0D" w:rsidRPr="0090051E">
        <w:t xml:space="preserve"> and</w:t>
      </w:r>
    </w:p>
    <w:p w14:paraId="43E98281" w14:textId="6DB26DC2" w:rsidR="00E72FD4" w:rsidRPr="0090051E" w:rsidRDefault="00E72FD4">
      <w:pPr>
        <w:pStyle w:val="ListParagraph"/>
        <w:numPr>
          <w:ilvl w:val="0"/>
          <w:numId w:val="12"/>
        </w:numPr>
      </w:pPr>
      <w:r w:rsidRPr="0090051E">
        <w:t xml:space="preserve">Not included in any other student categories as described in </w:t>
      </w:r>
      <w:hyperlink w:anchor="_1.0_Students" w:history="1">
        <w:r w:rsidRPr="0090051E">
          <w:rPr>
            <w:rStyle w:val="Hyperlink"/>
          </w:rPr>
          <w:t>Section 1.0</w:t>
        </w:r>
      </w:hyperlink>
      <w:r w:rsidR="00F453B7" w:rsidRPr="0090051E">
        <w:t>, including students who have withdrawn or are on leave</w:t>
      </w:r>
      <w:r w:rsidR="00107F0D" w:rsidRPr="0090051E">
        <w:t>.</w:t>
      </w:r>
      <w:r w:rsidR="00112CDB" w:rsidRPr="0090051E">
        <w:rPr>
          <w:rStyle w:val="FootnoteReference"/>
        </w:rPr>
        <w:footnoteReference w:id="3"/>
      </w:r>
    </w:p>
    <w:p w14:paraId="7193983D" w14:textId="47045FAC" w:rsidR="00E72FD4" w:rsidRPr="0090051E" w:rsidRDefault="00107F0D" w:rsidP="00D70042">
      <w:r w:rsidRPr="0090051E">
        <w:t xml:space="preserve">Eligible visiting students </w:t>
      </w:r>
      <w:r w:rsidR="007D195C" w:rsidRPr="0090051E">
        <w:t xml:space="preserve">will </w:t>
      </w:r>
      <w:r w:rsidR="00F00BF8" w:rsidRPr="0090051E">
        <w:t>be automatically enrolled in the MIT Student Health Insurance Plan</w:t>
      </w:r>
      <w:r w:rsidR="000411A4" w:rsidRPr="0090051E">
        <w:t xml:space="preserve">, with the exception of visiting students who are actively enrolled in and </w:t>
      </w:r>
      <w:r w:rsidR="00AB322A" w:rsidRPr="0090051E">
        <w:t>i</w:t>
      </w:r>
      <w:r w:rsidR="000411A4" w:rsidRPr="0090051E">
        <w:t>nsured by a higher educational institution in Massachusetts.</w:t>
      </w:r>
    </w:p>
    <w:p w14:paraId="464459AA" w14:textId="291C91E5" w:rsidR="00E72FD4" w:rsidRPr="0090051E" w:rsidRDefault="00FD66C3" w:rsidP="00D70042">
      <w:r w:rsidRPr="0090051E">
        <w:t xml:space="preserve">MIT Registrar’s Office </w:t>
      </w:r>
      <w:r w:rsidR="000411A4" w:rsidRPr="0090051E">
        <w:t xml:space="preserve">and the International Scholar Office are </w:t>
      </w:r>
      <w:r w:rsidR="00E72FD4" w:rsidRPr="0090051E">
        <w:t>the sole source</w:t>
      </w:r>
      <w:r w:rsidR="000411A4" w:rsidRPr="0090051E">
        <w:t>s</w:t>
      </w:r>
      <w:r w:rsidR="00E72FD4" w:rsidRPr="0090051E">
        <w:t xml:space="preserve"> of data for </w:t>
      </w:r>
      <w:r w:rsidR="00107F0D" w:rsidRPr="0090051E">
        <w:t>visiting students</w:t>
      </w:r>
      <w:r w:rsidR="00E72FD4" w:rsidRPr="0090051E">
        <w:t>.</w:t>
      </w:r>
      <w:r w:rsidRPr="0090051E">
        <w:t xml:space="preserve"> No changes in status will be accepted directly by any </w:t>
      </w:r>
      <w:r w:rsidR="00C243BC" w:rsidRPr="0090051E">
        <w:t xml:space="preserve">visiting </w:t>
      </w:r>
      <w:r w:rsidRPr="0090051E">
        <w:t>student or their dependents.</w:t>
      </w:r>
    </w:p>
    <w:p w14:paraId="4730B230" w14:textId="77777777" w:rsidR="00C42205" w:rsidRPr="0090051E" w:rsidRDefault="00C42205" w:rsidP="00D70042"/>
    <w:p w14:paraId="3230B6B4" w14:textId="2F157C99" w:rsidR="00C42205" w:rsidRPr="0090051E" w:rsidRDefault="00107F0D" w:rsidP="00D70042">
      <w:pPr>
        <w:pStyle w:val="Heading2"/>
        <w:spacing w:before="0" w:after="120"/>
        <w:rPr>
          <w:i/>
          <w:color w:val="auto"/>
        </w:rPr>
      </w:pPr>
      <w:bookmarkStart w:id="30" w:name="_Toc232415492"/>
      <w:r w:rsidRPr="0090051E">
        <w:rPr>
          <w:i/>
          <w:color w:val="auto"/>
        </w:rPr>
        <w:t>2</w:t>
      </w:r>
      <w:r w:rsidR="00C42205" w:rsidRPr="0090051E">
        <w:rPr>
          <w:i/>
          <w:color w:val="auto"/>
        </w:rPr>
        <w:t>.</w:t>
      </w:r>
      <w:r w:rsidR="00E72FD4" w:rsidRPr="0090051E">
        <w:rPr>
          <w:i/>
          <w:color w:val="auto"/>
        </w:rPr>
        <w:t>3</w:t>
      </w:r>
      <w:r w:rsidR="00C42205" w:rsidRPr="0090051E">
        <w:rPr>
          <w:i/>
          <w:color w:val="auto"/>
        </w:rPr>
        <w:t xml:space="preserve"> Exclusions</w:t>
      </w:r>
      <w:bookmarkEnd w:id="30"/>
    </w:p>
    <w:p w14:paraId="1E2A36A3" w14:textId="5305EA14" w:rsidR="00545F65" w:rsidRPr="0090051E" w:rsidRDefault="00C42205" w:rsidP="00D70042">
      <w:r w:rsidRPr="0090051E">
        <w:t xml:space="preserve">Any </w:t>
      </w:r>
      <w:r w:rsidR="00107F0D" w:rsidRPr="0090051E">
        <w:t>visiting student</w:t>
      </w:r>
      <w:r w:rsidRPr="0090051E">
        <w:t xml:space="preserve"> who is eligible for health insurance coverage provided by MIT as an employee, regardless of their enrollment status, is ineligible for coverage in the </w:t>
      </w:r>
      <w:r w:rsidR="00E5735C" w:rsidRPr="0090051E">
        <w:t>MIT Student Health Insurance Plan</w:t>
      </w:r>
      <w:r w:rsidRPr="0090051E">
        <w:t>.</w:t>
      </w:r>
    </w:p>
    <w:p w14:paraId="2CAF5B29" w14:textId="77777777" w:rsidR="00667616" w:rsidRPr="0090051E" w:rsidRDefault="00667616" w:rsidP="00D70042"/>
    <w:p w14:paraId="5AEF31D7" w14:textId="1B4DB33C" w:rsidR="00C42205" w:rsidRPr="0090051E" w:rsidRDefault="00107F0D" w:rsidP="00D70042">
      <w:pPr>
        <w:pStyle w:val="Heading2"/>
        <w:spacing w:before="0" w:after="120"/>
        <w:rPr>
          <w:i/>
          <w:color w:val="auto"/>
        </w:rPr>
      </w:pPr>
      <w:bookmarkStart w:id="31" w:name="_Toc232415493"/>
      <w:r w:rsidRPr="0090051E">
        <w:rPr>
          <w:i/>
          <w:color w:val="auto"/>
        </w:rPr>
        <w:t>2</w:t>
      </w:r>
      <w:r w:rsidR="00C42205" w:rsidRPr="0090051E">
        <w:rPr>
          <w:i/>
          <w:color w:val="auto"/>
        </w:rPr>
        <w:t>.</w:t>
      </w:r>
      <w:r w:rsidR="00E72FD4" w:rsidRPr="0090051E">
        <w:rPr>
          <w:i/>
          <w:color w:val="auto"/>
        </w:rPr>
        <w:t>4</w:t>
      </w:r>
      <w:r w:rsidR="00C42205" w:rsidRPr="0090051E">
        <w:rPr>
          <w:i/>
          <w:color w:val="auto"/>
        </w:rPr>
        <w:t xml:space="preserve"> Notification in Change of Status</w:t>
      </w:r>
      <w:bookmarkEnd w:id="31"/>
    </w:p>
    <w:p w14:paraId="1DA02751" w14:textId="458BB8E6" w:rsidR="00FD66C3" w:rsidRPr="0090051E" w:rsidRDefault="00C42205" w:rsidP="00D70042">
      <w:r w:rsidRPr="0090051E">
        <w:t xml:space="preserve">All notifications of a change in the status of a </w:t>
      </w:r>
      <w:r w:rsidR="00107F0D" w:rsidRPr="0090051E">
        <w:t>visiting student</w:t>
      </w:r>
      <w:r w:rsidRPr="0090051E">
        <w:t xml:space="preserve"> which would affect their eligibility will be provided to </w:t>
      </w:r>
      <w:r w:rsidR="00D43DC1" w:rsidRPr="0090051E">
        <w:t>the MIT Student Insurance Office</w:t>
      </w:r>
      <w:r w:rsidRPr="0090051E">
        <w:t xml:space="preserve"> by </w:t>
      </w:r>
      <w:r w:rsidR="00B55069" w:rsidRPr="0090051E">
        <w:t xml:space="preserve">the </w:t>
      </w:r>
      <w:r w:rsidR="00FD66C3" w:rsidRPr="0090051E">
        <w:t>MIT Registrar’s Office</w:t>
      </w:r>
      <w:r w:rsidR="000411A4" w:rsidRPr="0090051E">
        <w:t xml:space="preserve"> or the International Scholar Office</w:t>
      </w:r>
      <w:r w:rsidR="00FD66C3" w:rsidRPr="0090051E">
        <w:t xml:space="preserve">. No changes in status will be accepted directly by any </w:t>
      </w:r>
      <w:r w:rsidR="00C243BC" w:rsidRPr="0090051E">
        <w:t xml:space="preserve">visiting </w:t>
      </w:r>
      <w:r w:rsidR="00C91FF3" w:rsidRPr="0090051E">
        <w:t xml:space="preserve">students, their dependents or any </w:t>
      </w:r>
      <w:r w:rsidR="004B7BF8" w:rsidRPr="0090051E">
        <w:t>Department, Laboratory, Center or Institute</w:t>
      </w:r>
      <w:r w:rsidR="00FD66C3" w:rsidRPr="0090051E">
        <w:t>.</w:t>
      </w:r>
    </w:p>
    <w:p w14:paraId="366CE2F5" w14:textId="77777777" w:rsidR="00C42205" w:rsidRPr="0090051E" w:rsidRDefault="00C42205" w:rsidP="00D70042"/>
    <w:p w14:paraId="0A4BAF1E" w14:textId="0441C8C9" w:rsidR="00C42205" w:rsidRPr="0090051E" w:rsidRDefault="00107F0D" w:rsidP="00D70042">
      <w:pPr>
        <w:pStyle w:val="Heading2"/>
        <w:spacing w:before="0" w:after="120"/>
        <w:rPr>
          <w:i/>
          <w:color w:val="auto"/>
        </w:rPr>
      </w:pPr>
      <w:bookmarkStart w:id="32" w:name="_Toc232415494"/>
      <w:r w:rsidRPr="0090051E">
        <w:rPr>
          <w:i/>
          <w:color w:val="auto"/>
        </w:rPr>
        <w:lastRenderedPageBreak/>
        <w:t>2</w:t>
      </w:r>
      <w:r w:rsidR="00C42205" w:rsidRPr="0090051E">
        <w:rPr>
          <w:i/>
          <w:color w:val="auto"/>
        </w:rPr>
        <w:t>.</w:t>
      </w:r>
      <w:r w:rsidR="00E72FD4" w:rsidRPr="0090051E">
        <w:rPr>
          <w:i/>
          <w:color w:val="auto"/>
        </w:rPr>
        <w:t>5</w:t>
      </w:r>
      <w:r w:rsidR="00C42205" w:rsidRPr="0090051E">
        <w:rPr>
          <w:i/>
          <w:color w:val="auto"/>
        </w:rPr>
        <w:t xml:space="preserve"> Additional Requirements for J-1 and J-2 Visa Holders</w:t>
      </w:r>
      <w:bookmarkEnd w:id="32"/>
    </w:p>
    <w:p w14:paraId="1489CAC6" w14:textId="7EC42DED" w:rsidR="00C42205" w:rsidRPr="0090051E" w:rsidRDefault="00C42205" w:rsidP="00D70042">
      <w:r w:rsidRPr="0090051E">
        <w:t xml:space="preserve">Eligible </w:t>
      </w:r>
      <w:r w:rsidR="00107F0D" w:rsidRPr="0090051E">
        <w:t>visiting students</w:t>
      </w:r>
      <w:r w:rsidRPr="0090051E">
        <w:t xml:space="preserve"> with a J-1 visa, as well as all dependents with J-2 visas, are required to have health insurance that meets U.S. Department of State requirements for the duration of participation in the exchange visitor program. Failure to have and maintain required coverage may lead to loss of legal immigration status.</w:t>
      </w:r>
    </w:p>
    <w:p w14:paraId="0534BC3D" w14:textId="56370D05" w:rsidR="00C42205" w:rsidRPr="0090051E" w:rsidRDefault="005A42D8" w:rsidP="00D70042">
      <w:r w:rsidRPr="0090051E">
        <w:t>T</w:t>
      </w:r>
      <w:r w:rsidR="00C42205" w:rsidRPr="0090051E">
        <w:t xml:space="preserve">he </w:t>
      </w:r>
      <w:r w:rsidR="00E5735C" w:rsidRPr="0090051E">
        <w:t>MIT Student Health Insurance Plan</w:t>
      </w:r>
      <w:r w:rsidRPr="0090051E">
        <w:t xml:space="preserve"> </w:t>
      </w:r>
      <w:r w:rsidR="00C42205" w:rsidRPr="0090051E">
        <w:t xml:space="preserve">meets all U.S. Department of State </w:t>
      </w:r>
      <w:r w:rsidR="00EB5642" w:rsidRPr="0090051E">
        <w:t xml:space="preserve">health insurance </w:t>
      </w:r>
      <w:r w:rsidR="00C42205" w:rsidRPr="0090051E">
        <w:t>requirements for J-1 and J-2 visa holders.</w:t>
      </w:r>
    </w:p>
    <w:p w14:paraId="1ED33395" w14:textId="03C7CF9D" w:rsidR="00F00BF8" w:rsidRPr="0090051E" w:rsidRDefault="00F00BF8" w:rsidP="00D70042">
      <w:r w:rsidRPr="0090051E">
        <w:t xml:space="preserve">Coverage in the MIT Student Health Insurance Plan begins consentient with timelines defined in </w:t>
      </w:r>
      <w:hyperlink w:anchor="_5.3_Initial_Enrollment" w:history="1">
        <w:r w:rsidRPr="0090051E">
          <w:rPr>
            <w:rStyle w:val="Hyperlink"/>
          </w:rPr>
          <w:t>Section 5.3</w:t>
        </w:r>
      </w:hyperlink>
      <w:r w:rsidRPr="0090051E">
        <w:t xml:space="preserve"> regardless of the date on which the visa holder arrives in the United States. It is the responsibility of the visa holder to be in compliance with any health insurance requirements prior to the start of coverage in the MIT Student Health Insurance Plan.</w:t>
      </w:r>
    </w:p>
    <w:p w14:paraId="53262D60" w14:textId="70AE720B" w:rsidR="00C42205" w:rsidRPr="0090051E" w:rsidRDefault="00C42205" w:rsidP="00D70042">
      <w:r w:rsidRPr="0090051E">
        <w:t>Holding a J-1/J-2 visa, alone, does not make an individual a</w:t>
      </w:r>
      <w:r w:rsidR="00EF606D" w:rsidRPr="0090051E">
        <w:t xml:space="preserve">n </w:t>
      </w:r>
      <w:r w:rsidR="004561FA" w:rsidRPr="0090051E">
        <w:t>eligible</w:t>
      </w:r>
      <w:r w:rsidRPr="0090051E">
        <w:t xml:space="preserve"> </w:t>
      </w:r>
      <w:r w:rsidR="00FE28D1" w:rsidRPr="0090051E">
        <w:t>visiting student</w:t>
      </w:r>
      <w:r w:rsidRPr="0090051E">
        <w:t xml:space="preserve"> who can </w:t>
      </w:r>
      <w:r w:rsidR="00112CDB" w:rsidRPr="0090051E">
        <w:t>enroll in</w:t>
      </w:r>
      <w:r w:rsidRPr="0090051E">
        <w:t xml:space="preserve"> the </w:t>
      </w:r>
      <w:r w:rsidR="00E5735C" w:rsidRPr="0090051E">
        <w:t>MIT Student Health Insurance Plan</w:t>
      </w:r>
      <w:r w:rsidRPr="0090051E">
        <w:t>.</w:t>
      </w:r>
    </w:p>
    <w:p w14:paraId="27FFC051" w14:textId="77777777" w:rsidR="00B55069" w:rsidRPr="0090051E" w:rsidRDefault="00B55069" w:rsidP="00D70042"/>
    <w:p w14:paraId="4D2498DE" w14:textId="77777777" w:rsidR="00107F0D" w:rsidRPr="0090051E" w:rsidRDefault="00107F0D" w:rsidP="00D70042">
      <w:pPr>
        <w:rPr>
          <w:b/>
          <w:color w:val="C00000"/>
        </w:rPr>
        <w:sectPr w:rsidR="00107F0D" w:rsidRPr="0090051E" w:rsidSect="00BA68BD">
          <w:pgSz w:w="12240" w:h="15840"/>
          <w:pgMar w:top="1440" w:right="1440" w:bottom="1440" w:left="1440" w:header="720" w:footer="720" w:gutter="0"/>
          <w:cols w:space="720"/>
          <w:docGrid w:linePitch="360"/>
        </w:sectPr>
      </w:pPr>
    </w:p>
    <w:p w14:paraId="59F2D2EA" w14:textId="24A0BB01" w:rsidR="009F3CB4" w:rsidRPr="0090051E" w:rsidRDefault="009F3CB4" w:rsidP="00D70042">
      <w:pPr>
        <w:pStyle w:val="Heading1"/>
        <w:spacing w:before="0" w:after="240"/>
        <w:rPr>
          <w:b/>
          <w:color w:val="C00000"/>
        </w:rPr>
      </w:pPr>
      <w:bookmarkStart w:id="33" w:name="_3.0_Affiliates"/>
      <w:bookmarkStart w:id="34" w:name="_3.0_Other_Eligible"/>
      <w:bookmarkStart w:id="35" w:name="_Toc7774547"/>
      <w:bookmarkStart w:id="36" w:name="_Toc232415495"/>
      <w:bookmarkEnd w:id="33"/>
      <w:bookmarkEnd w:id="34"/>
      <w:r w:rsidRPr="0090051E">
        <w:rPr>
          <w:b/>
          <w:color w:val="C00000"/>
        </w:rPr>
        <w:lastRenderedPageBreak/>
        <w:t xml:space="preserve">3.0 </w:t>
      </w:r>
      <w:bookmarkEnd w:id="35"/>
      <w:r w:rsidRPr="0090051E">
        <w:rPr>
          <w:b/>
          <w:color w:val="C00000"/>
        </w:rPr>
        <w:t>Other Eligible Individuals</w:t>
      </w:r>
      <w:bookmarkEnd w:id="36"/>
    </w:p>
    <w:p w14:paraId="53923B4A" w14:textId="77777777" w:rsidR="009F3CB4" w:rsidRPr="0090051E" w:rsidRDefault="009F3CB4" w:rsidP="00D70042">
      <w:pPr>
        <w:pStyle w:val="Heading2"/>
        <w:spacing w:before="0" w:after="120"/>
        <w:rPr>
          <w:i/>
          <w:color w:val="auto"/>
        </w:rPr>
      </w:pPr>
      <w:bookmarkStart w:id="37" w:name="_3.1_Definition"/>
      <w:bookmarkStart w:id="38" w:name="_Toc7774548"/>
      <w:bookmarkStart w:id="39" w:name="_Toc232415496"/>
      <w:bookmarkEnd w:id="37"/>
      <w:r w:rsidRPr="0090051E">
        <w:rPr>
          <w:i/>
          <w:color w:val="auto"/>
        </w:rPr>
        <w:t>3.1 Definition</w:t>
      </w:r>
      <w:bookmarkEnd w:id="38"/>
      <w:bookmarkEnd w:id="39"/>
    </w:p>
    <w:p w14:paraId="2BF96F62" w14:textId="78DF0187" w:rsidR="009F3CB4" w:rsidRPr="0090051E" w:rsidRDefault="00050ED9" w:rsidP="00D70042">
      <w:r w:rsidRPr="0090051E">
        <w:t>T</w:t>
      </w:r>
      <w:r w:rsidR="009F3CB4" w:rsidRPr="0090051E">
        <w:t>he following appointment titles will be considered as</w:t>
      </w:r>
      <w:r w:rsidR="00DB4A76" w:rsidRPr="0090051E">
        <w:t xml:space="preserve"> </w:t>
      </w:r>
      <w:r w:rsidR="0097602A" w:rsidRPr="0090051E">
        <w:t xml:space="preserve">Other Eligible Individuals </w:t>
      </w:r>
      <w:r w:rsidR="00DB4A76" w:rsidRPr="0090051E">
        <w:t xml:space="preserve">for the MIT Student Health Insurance </w:t>
      </w:r>
      <w:r w:rsidR="00F00BF8" w:rsidRPr="0090051E">
        <w:t>P</w:t>
      </w:r>
      <w:r w:rsidR="00DB4A76" w:rsidRPr="0090051E">
        <w:t>lan</w:t>
      </w:r>
      <w:r w:rsidR="009F3CB4" w:rsidRPr="0090051E">
        <w:t>:</w:t>
      </w:r>
    </w:p>
    <w:p w14:paraId="1B32D2DA" w14:textId="77777777" w:rsidR="009F3CB4" w:rsidRPr="0090051E" w:rsidRDefault="009F3CB4">
      <w:pPr>
        <w:pStyle w:val="ListParagraph"/>
        <w:numPr>
          <w:ilvl w:val="0"/>
          <w:numId w:val="1"/>
        </w:numPr>
      </w:pPr>
      <w:r w:rsidRPr="0090051E">
        <w:t>Postdoctoral Fellow;</w:t>
      </w:r>
    </w:p>
    <w:p w14:paraId="07CFBD48" w14:textId="77777777" w:rsidR="009F3CB4" w:rsidRPr="0090051E" w:rsidRDefault="009F3CB4">
      <w:pPr>
        <w:pStyle w:val="ListParagraph"/>
        <w:numPr>
          <w:ilvl w:val="0"/>
          <w:numId w:val="1"/>
        </w:numPr>
      </w:pPr>
      <w:r w:rsidRPr="0090051E">
        <w:t>Senior Postdoctoral Fellow;</w:t>
      </w:r>
    </w:p>
    <w:p w14:paraId="479D1C97" w14:textId="13174C7E" w:rsidR="009F3CB4" w:rsidRPr="0090051E" w:rsidRDefault="009F3CB4">
      <w:pPr>
        <w:pStyle w:val="ListParagraph"/>
        <w:numPr>
          <w:ilvl w:val="0"/>
          <w:numId w:val="1"/>
        </w:numPr>
      </w:pPr>
      <w:r w:rsidRPr="0090051E">
        <w:t>Research Fellow;</w:t>
      </w:r>
      <w:r w:rsidR="00940E45" w:rsidRPr="0090051E">
        <w:t xml:space="preserve"> or</w:t>
      </w:r>
    </w:p>
    <w:p w14:paraId="715EB7DA" w14:textId="6FD54B3C" w:rsidR="009F3CB4" w:rsidRPr="0090051E" w:rsidRDefault="009F3CB4">
      <w:pPr>
        <w:pStyle w:val="ListParagraph"/>
        <w:numPr>
          <w:ilvl w:val="0"/>
          <w:numId w:val="1"/>
        </w:numPr>
      </w:pPr>
      <w:r w:rsidRPr="0090051E">
        <w:t>Senior Research Fellow</w:t>
      </w:r>
      <w:r w:rsidR="00940E45" w:rsidRPr="0090051E">
        <w:t>.</w:t>
      </w:r>
    </w:p>
    <w:p w14:paraId="5F481A3A" w14:textId="5F62EE02" w:rsidR="009F3CB4" w:rsidRPr="0090051E" w:rsidRDefault="009F3CB4" w:rsidP="00D70042">
      <w:r w:rsidRPr="0090051E">
        <w:t xml:space="preserve">The determination of the title of an </w:t>
      </w:r>
      <w:r w:rsidR="0097602A" w:rsidRPr="0090051E">
        <w:t xml:space="preserve">Other Eligible Individual </w:t>
      </w:r>
      <w:r w:rsidRPr="0090051E">
        <w:t xml:space="preserve">is made by the </w:t>
      </w:r>
      <w:r w:rsidR="004B7BF8" w:rsidRPr="0090051E">
        <w:t>Department, Laboratory, Center or Institute</w:t>
      </w:r>
      <w:r w:rsidRPr="0090051E">
        <w:t xml:space="preserve"> by which the individual is appointed and must be reported to </w:t>
      </w:r>
      <w:r w:rsidR="007C64EE" w:rsidRPr="0090051E">
        <w:t>MIT Human Resources</w:t>
      </w:r>
      <w:r w:rsidRPr="0090051E">
        <w:t xml:space="preserve">. A </w:t>
      </w:r>
      <w:r w:rsidR="004B7BF8" w:rsidRPr="0090051E">
        <w:t xml:space="preserve">Department, Laboratory, Center or Institute </w:t>
      </w:r>
      <w:r w:rsidRPr="0090051E">
        <w:t xml:space="preserve">may use public-facing appointment or job title that is different than the title provided to </w:t>
      </w:r>
      <w:r w:rsidR="00D43DC1" w:rsidRPr="0090051E">
        <w:t>the MIT Student Insurance Office</w:t>
      </w:r>
      <w:r w:rsidRPr="0090051E">
        <w:t xml:space="preserve"> for purposes of insurance eligibility. However, the title provided for purposes of insurance eligibility must be consistent with the work performed by the </w:t>
      </w:r>
      <w:r w:rsidR="0097602A" w:rsidRPr="0090051E">
        <w:t>Other Eligible Individual</w:t>
      </w:r>
      <w:r w:rsidRPr="0090051E">
        <w:t xml:space="preserve">. For example, an </w:t>
      </w:r>
      <w:r w:rsidR="005A0721" w:rsidRPr="0090051E">
        <w:t>individual</w:t>
      </w:r>
      <w:r w:rsidRPr="0090051E">
        <w:t xml:space="preserve"> may have the public-facing job title of “William Barton Roger Fellow,” while the title submitted for insurance eligibility may be “Postdoctoral Fellow” as long as the work is constant with that of a Postdoctoral Fellow. </w:t>
      </w:r>
    </w:p>
    <w:p w14:paraId="6C22FF61" w14:textId="77777777" w:rsidR="009F3CB4" w:rsidRPr="0090051E" w:rsidRDefault="009F3CB4" w:rsidP="00D70042"/>
    <w:p w14:paraId="15AC240D" w14:textId="77777777" w:rsidR="009F3CB4" w:rsidRPr="0090051E" w:rsidRDefault="009F3CB4" w:rsidP="00D70042">
      <w:pPr>
        <w:pStyle w:val="Heading2"/>
        <w:spacing w:before="0" w:after="120"/>
        <w:rPr>
          <w:i/>
          <w:color w:val="auto"/>
        </w:rPr>
      </w:pPr>
      <w:bookmarkStart w:id="40" w:name="_Toc7774549"/>
      <w:bookmarkStart w:id="41" w:name="_Toc232415497"/>
      <w:r w:rsidRPr="0090051E">
        <w:rPr>
          <w:i/>
          <w:color w:val="auto"/>
        </w:rPr>
        <w:t>3.2 Eligibility</w:t>
      </w:r>
      <w:bookmarkEnd w:id="40"/>
      <w:bookmarkEnd w:id="41"/>
    </w:p>
    <w:p w14:paraId="07EFCB49" w14:textId="7759D1FD" w:rsidR="009F3CB4" w:rsidRPr="0090051E" w:rsidRDefault="009F3CB4" w:rsidP="00D70042">
      <w:r w:rsidRPr="0090051E">
        <w:t xml:space="preserve">An </w:t>
      </w:r>
      <w:r w:rsidR="0097602A" w:rsidRPr="0090051E">
        <w:t xml:space="preserve">Other Eligible Individual </w:t>
      </w:r>
      <w:r w:rsidRPr="0090051E">
        <w:t>who meets all of the following conditions will be considered as eligible for health insurance purposes:</w:t>
      </w:r>
    </w:p>
    <w:p w14:paraId="15566AB7" w14:textId="4C6D4C05" w:rsidR="009F3CB4" w:rsidRPr="0090051E" w:rsidRDefault="009F3CB4">
      <w:pPr>
        <w:pStyle w:val="ListParagraph"/>
        <w:numPr>
          <w:ilvl w:val="0"/>
          <w:numId w:val="2"/>
        </w:numPr>
      </w:pPr>
      <w:r w:rsidRPr="0090051E">
        <w:t xml:space="preserve">Has one of the appointment titles defined in </w:t>
      </w:r>
      <w:hyperlink w:anchor="_3.1_Definition" w:history="1">
        <w:r w:rsidR="00D43DC1" w:rsidRPr="0090051E">
          <w:rPr>
            <w:rStyle w:val="Hyperlink"/>
          </w:rPr>
          <w:t>Section 3.1</w:t>
        </w:r>
      </w:hyperlink>
      <w:r w:rsidRPr="0090051E">
        <w:t>;</w:t>
      </w:r>
    </w:p>
    <w:p w14:paraId="2F48B4FD" w14:textId="77777777" w:rsidR="009F3CB4" w:rsidRPr="0090051E" w:rsidRDefault="009F3CB4">
      <w:pPr>
        <w:pStyle w:val="ListParagraph"/>
        <w:numPr>
          <w:ilvl w:val="0"/>
          <w:numId w:val="2"/>
        </w:numPr>
      </w:pPr>
      <w:r w:rsidRPr="0090051E">
        <w:t>Not eligible for MIT employee benefits, including health insurance;</w:t>
      </w:r>
    </w:p>
    <w:p w14:paraId="1E15A778" w14:textId="674006AF" w:rsidR="009F3CB4" w:rsidRPr="0090051E" w:rsidRDefault="009F3CB4">
      <w:pPr>
        <w:pStyle w:val="ListParagraph"/>
        <w:numPr>
          <w:ilvl w:val="0"/>
          <w:numId w:val="2"/>
        </w:numPr>
      </w:pPr>
      <w:r w:rsidRPr="0090051E">
        <w:t xml:space="preserve">Appointed for at least fifty (50) percent of the normal full-time work schedule as defined by the Affiliate’s </w:t>
      </w:r>
      <w:r w:rsidR="004B7BF8" w:rsidRPr="0090051E">
        <w:t>Department, Laboratory, Center or Institute</w:t>
      </w:r>
      <w:r w:rsidRPr="0090051E">
        <w:t>; and</w:t>
      </w:r>
    </w:p>
    <w:p w14:paraId="3FC660E3" w14:textId="77777777" w:rsidR="009F3CB4" w:rsidRPr="0090051E" w:rsidRDefault="009F3CB4">
      <w:pPr>
        <w:pStyle w:val="ListParagraph"/>
        <w:numPr>
          <w:ilvl w:val="0"/>
          <w:numId w:val="2"/>
        </w:numPr>
      </w:pPr>
      <w:r w:rsidRPr="0090051E">
        <w:t>Appointed for a period of at least three (3) consecutive months.</w:t>
      </w:r>
    </w:p>
    <w:p w14:paraId="387FCA71" w14:textId="5EB885E3" w:rsidR="009F3CB4" w:rsidRPr="0090051E" w:rsidRDefault="009F3CB4" w:rsidP="00D70042">
      <w:r w:rsidRPr="0090051E">
        <w:t xml:space="preserve">An </w:t>
      </w:r>
      <w:r w:rsidR="0097602A" w:rsidRPr="0090051E">
        <w:t xml:space="preserve">Other Eligible Individual </w:t>
      </w:r>
      <w:r w:rsidRPr="0090051E">
        <w:t xml:space="preserve">must affirmatively enroll in the MIT </w:t>
      </w:r>
      <w:r w:rsidR="00F00BF8" w:rsidRPr="0090051E">
        <w:t>Student Health</w:t>
      </w:r>
      <w:r w:rsidRPr="0090051E">
        <w:t xml:space="preserve"> Insurance Plan and will not be required to demonstrate comparable coverage from another source. An </w:t>
      </w:r>
      <w:r w:rsidR="0097602A" w:rsidRPr="0090051E">
        <w:t xml:space="preserve">Other Eligible Individual </w:t>
      </w:r>
      <w:r w:rsidRPr="0090051E">
        <w:t xml:space="preserve">who does not meet all of these conditions is not considered eligible to participate in the MIT </w:t>
      </w:r>
      <w:r w:rsidR="00F00BF8" w:rsidRPr="0090051E">
        <w:t>Student Health</w:t>
      </w:r>
      <w:r w:rsidRPr="0090051E">
        <w:t xml:space="preserve"> Insurance Plan.</w:t>
      </w:r>
    </w:p>
    <w:p w14:paraId="4C619067" w14:textId="31D607BC" w:rsidR="009F3CB4" w:rsidRPr="0090051E" w:rsidRDefault="00F82C2D" w:rsidP="00D70042">
      <w:r w:rsidRPr="0090051E">
        <w:t xml:space="preserve">MIT Human Resources </w:t>
      </w:r>
      <w:r w:rsidR="009F3CB4" w:rsidRPr="0090051E">
        <w:t xml:space="preserve">is the sole source of data for </w:t>
      </w:r>
      <w:r w:rsidR="0097602A" w:rsidRPr="0090051E">
        <w:t>Other Eligible Individuals</w:t>
      </w:r>
      <w:r w:rsidR="009F3CB4" w:rsidRPr="0090051E">
        <w:t>.</w:t>
      </w:r>
    </w:p>
    <w:p w14:paraId="0DC5EB61" w14:textId="77777777" w:rsidR="00953804" w:rsidRPr="0090051E" w:rsidRDefault="00953804" w:rsidP="00D70042"/>
    <w:p w14:paraId="55EDA3F9" w14:textId="77777777" w:rsidR="009F3CB4" w:rsidRPr="0090051E" w:rsidRDefault="009F3CB4" w:rsidP="00D70042">
      <w:pPr>
        <w:pStyle w:val="Heading2"/>
        <w:spacing w:before="0" w:after="120"/>
        <w:rPr>
          <w:i/>
          <w:color w:val="auto"/>
        </w:rPr>
      </w:pPr>
      <w:bookmarkStart w:id="42" w:name="_Toc7774550"/>
      <w:bookmarkStart w:id="43" w:name="_Toc232415498"/>
      <w:r w:rsidRPr="0090051E">
        <w:rPr>
          <w:i/>
          <w:color w:val="auto"/>
        </w:rPr>
        <w:t>3.3 Exclusions</w:t>
      </w:r>
      <w:bookmarkEnd w:id="42"/>
      <w:bookmarkEnd w:id="43"/>
    </w:p>
    <w:p w14:paraId="18B85828" w14:textId="29FC6F72" w:rsidR="009F3CB4" w:rsidRPr="0090051E" w:rsidRDefault="009F3CB4" w:rsidP="00D70042">
      <w:r w:rsidRPr="0090051E">
        <w:t xml:space="preserve">Any individual classified as a student as described in </w:t>
      </w:r>
      <w:hyperlink w:anchor="_1.0_Students" w:history="1">
        <w:r w:rsidRPr="0090051E">
          <w:rPr>
            <w:rStyle w:val="Hyperlink"/>
          </w:rPr>
          <w:t>Section 1.0</w:t>
        </w:r>
      </w:hyperlink>
      <w:r w:rsidRPr="0090051E">
        <w:t xml:space="preserve"> may not be considered </w:t>
      </w:r>
      <w:r w:rsidR="0097602A" w:rsidRPr="0090051E">
        <w:t xml:space="preserve">an Other Eligible Individual </w:t>
      </w:r>
      <w:r w:rsidRPr="0090051E">
        <w:t>for purposes of health insurance eligibility.</w:t>
      </w:r>
    </w:p>
    <w:p w14:paraId="731AC20E" w14:textId="7D4750E9" w:rsidR="009F3CB4" w:rsidRPr="0090051E" w:rsidRDefault="009F3CB4" w:rsidP="00D70042">
      <w:r w:rsidRPr="0090051E">
        <w:t xml:space="preserve">Any </w:t>
      </w:r>
      <w:r w:rsidR="0097602A" w:rsidRPr="0090051E">
        <w:t xml:space="preserve">individual </w:t>
      </w:r>
      <w:r w:rsidRPr="0090051E">
        <w:t xml:space="preserve">who is eligible for health insurance coverage provided by MIT as an employee, regardless of their enrollment status, is ineligible for coverage in the MIT </w:t>
      </w:r>
      <w:r w:rsidR="0097602A" w:rsidRPr="0090051E">
        <w:t>Student Health</w:t>
      </w:r>
      <w:r w:rsidRPr="0090051E">
        <w:t xml:space="preserve"> Insurance Plan.</w:t>
      </w:r>
    </w:p>
    <w:p w14:paraId="649396E2" w14:textId="427C94EA" w:rsidR="009F3CB4" w:rsidRPr="0090051E" w:rsidRDefault="009F3CB4" w:rsidP="00D70042">
      <w:r w:rsidRPr="0090051E">
        <w:lastRenderedPageBreak/>
        <w:t xml:space="preserve">Any appointment title other than those specified in </w:t>
      </w:r>
      <w:hyperlink w:anchor="_3.1_Definition" w:history="1">
        <w:r w:rsidRPr="0090051E">
          <w:rPr>
            <w:rStyle w:val="Hyperlink"/>
          </w:rPr>
          <w:t>Sections 3.1</w:t>
        </w:r>
      </w:hyperlink>
      <w:r w:rsidRPr="0090051E">
        <w:t xml:space="preserve"> may not be considered an </w:t>
      </w:r>
      <w:r w:rsidR="0097602A" w:rsidRPr="0090051E">
        <w:t xml:space="preserve">Other Eligible Individual </w:t>
      </w:r>
      <w:r w:rsidRPr="0090051E">
        <w:t xml:space="preserve">for purposes of health insurance eligibility. In addition, the following appointment titles are specifically not considered as </w:t>
      </w:r>
      <w:r w:rsidR="0097602A" w:rsidRPr="0090051E">
        <w:t xml:space="preserve">Other Eligible Individuals </w:t>
      </w:r>
      <w:r w:rsidRPr="0090051E">
        <w:t>for purposes of health insurance eligibility:</w:t>
      </w:r>
    </w:p>
    <w:p w14:paraId="653F5CC0" w14:textId="77777777" w:rsidR="00940E45" w:rsidRPr="0090051E" w:rsidRDefault="00940E45" w:rsidP="00940E45">
      <w:pPr>
        <w:pStyle w:val="ListParagraph"/>
        <w:numPr>
          <w:ilvl w:val="0"/>
          <w:numId w:val="3"/>
        </w:numPr>
      </w:pPr>
      <w:r w:rsidRPr="0090051E">
        <w:t>Visiting Assistant Professor;</w:t>
      </w:r>
    </w:p>
    <w:p w14:paraId="4AD62391" w14:textId="77777777" w:rsidR="00940E45" w:rsidRPr="0090051E" w:rsidRDefault="00940E45" w:rsidP="00940E45">
      <w:pPr>
        <w:pStyle w:val="ListParagraph"/>
        <w:numPr>
          <w:ilvl w:val="0"/>
          <w:numId w:val="3"/>
        </w:numPr>
      </w:pPr>
      <w:r w:rsidRPr="0090051E">
        <w:t>Visiting Associate Professor;</w:t>
      </w:r>
    </w:p>
    <w:p w14:paraId="141F4825" w14:textId="77777777" w:rsidR="00940E45" w:rsidRPr="0090051E" w:rsidRDefault="00940E45" w:rsidP="00940E45">
      <w:pPr>
        <w:pStyle w:val="ListParagraph"/>
        <w:numPr>
          <w:ilvl w:val="0"/>
          <w:numId w:val="3"/>
        </w:numPr>
      </w:pPr>
      <w:r w:rsidRPr="0090051E">
        <w:t>Visiting Professor;</w:t>
      </w:r>
    </w:p>
    <w:p w14:paraId="0F1F7E73" w14:textId="77777777" w:rsidR="00940E45" w:rsidRPr="0090051E" w:rsidRDefault="00940E45" w:rsidP="00940E45">
      <w:pPr>
        <w:pStyle w:val="ListParagraph"/>
        <w:numPr>
          <w:ilvl w:val="0"/>
          <w:numId w:val="3"/>
        </w:numPr>
      </w:pPr>
      <w:r w:rsidRPr="0090051E">
        <w:t>Visiting Lecturer;</w:t>
      </w:r>
    </w:p>
    <w:p w14:paraId="4642AE6F" w14:textId="77777777" w:rsidR="00940E45" w:rsidRPr="0090051E" w:rsidRDefault="00940E45" w:rsidP="00940E45">
      <w:pPr>
        <w:pStyle w:val="ListParagraph"/>
        <w:numPr>
          <w:ilvl w:val="0"/>
          <w:numId w:val="3"/>
        </w:numPr>
      </w:pPr>
      <w:r w:rsidRPr="0090051E">
        <w:t>Visiting Engineer;</w:t>
      </w:r>
    </w:p>
    <w:p w14:paraId="072ABC0F" w14:textId="61D02144" w:rsidR="00940E45" w:rsidRPr="0090051E" w:rsidRDefault="00940E45" w:rsidP="00940E45">
      <w:pPr>
        <w:pStyle w:val="ListParagraph"/>
        <w:numPr>
          <w:ilvl w:val="0"/>
          <w:numId w:val="3"/>
        </w:numPr>
      </w:pPr>
      <w:r w:rsidRPr="0090051E">
        <w:t>Visiting Scientist;</w:t>
      </w:r>
    </w:p>
    <w:p w14:paraId="0D7D35DD" w14:textId="77777777" w:rsidR="00940E45" w:rsidRPr="0090051E" w:rsidRDefault="00940E45" w:rsidP="00940E45">
      <w:pPr>
        <w:pStyle w:val="ListParagraph"/>
        <w:numPr>
          <w:ilvl w:val="0"/>
          <w:numId w:val="3"/>
        </w:numPr>
      </w:pPr>
      <w:r w:rsidRPr="0090051E">
        <w:t>Visiting Scholar.</w:t>
      </w:r>
    </w:p>
    <w:p w14:paraId="0D10496D" w14:textId="77777777" w:rsidR="009F3CB4" w:rsidRPr="0090051E" w:rsidRDefault="009F3CB4">
      <w:pPr>
        <w:pStyle w:val="ListParagraph"/>
        <w:numPr>
          <w:ilvl w:val="0"/>
          <w:numId w:val="3"/>
        </w:numPr>
      </w:pPr>
      <w:r w:rsidRPr="0090051E">
        <w:t>Research Affiliate;</w:t>
      </w:r>
    </w:p>
    <w:p w14:paraId="44DD8E99" w14:textId="77777777" w:rsidR="009F3CB4" w:rsidRPr="0090051E" w:rsidRDefault="009F3CB4">
      <w:pPr>
        <w:pStyle w:val="ListParagraph"/>
        <w:numPr>
          <w:ilvl w:val="0"/>
          <w:numId w:val="3"/>
        </w:numPr>
      </w:pPr>
      <w:r w:rsidRPr="0090051E">
        <w:t>Senior Research Affiliate;</w:t>
      </w:r>
    </w:p>
    <w:p w14:paraId="02B45FAC" w14:textId="77777777" w:rsidR="009F3CB4" w:rsidRPr="0090051E" w:rsidRDefault="009F3CB4">
      <w:pPr>
        <w:pStyle w:val="ListParagraph"/>
        <w:numPr>
          <w:ilvl w:val="0"/>
          <w:numId w:val="3"/>
        </w:numPr>
      </w:pPr>
      <w:r w:rsidRPr="0090051E">
        <w:t>Guests of the Institute; or</w:t>
      </w:r>
    </w:p>
    <w:p w14:paraId="5CC70606" w14:textId="77777777" w:rsidR="009F3CB4" w:rsidRPr="0090051E" w:rsidRDefault="009F3CB4">
      <w:pPr>
        <w:pStyle w:val="ListParagraph"/>
        <w:numPr>
          <w:ilvl w:val="0"/>
          <w:numId w:val="3"/>
        </w:numPr>
      </w:pPr>
      <w:r w:rsidRPr="0090051E">
        <w:t>Staff Affiliate.</w:t>
      </w:r>
    </w:p>
    <w:p w14:paraId="5A3F0B64" w14:textId="77777777" w:rsidR="009F3CB4" w:rsidRPr="0090051E" w:rsidRDefault="009F3CB4" w:rsidP="00D70042"/>
    <w:p w14:paraId="54027A5B" w14:textId="682AB2A2" w:rsidR="00425134" w:rsidRPr="0090051E" w:rsidRDefault="00425134" w:rsidP="00425134">
      <w:pPr>
        <w:pStyle w:val="Heading2"/>
        <w:spacing w:before="0" w:after="120"/>
        <w:rPr>
          <w:i/>
          <w:color w:val="auto"/>
        </w:rPr>
      </w:pPr>
      <w:bookmarkStart w:id="44" w:name="_Toc232415499"/>
      <w:r w:rsidRPr="0090051E">
        <w:rPr>
          <w:i/>
          <w:color w:val="auto"/>
        </w:rPr>
        <w:t>3.4 Medicare Eligible Other Eligible Individuals</w:t>
      </w:r>
      <w:bookmarkEnd w:id="44"/>
    </w:p>
    <w:p w14:paraId="2BF5DBEE" w14:textId="2AB8417D" w:rsidR="00425134" w:rsidRPr="0090051E" w:rsidRDefault="00425134" w:rsidP="00D70042">
      <w:r w:rsidRPr="0090051E">
        <w:t>For Other Eligible Individuals aged 65 or older, as well as other individuals eligible for Medicare, enrolled in the MIT Student Health Insurance Plan, it is important to be aware that the plan will always be the secondary payer to Medicare if the Other Eligible Individual is eligible for Medicare, regardless of Medicare enrollment status. Other Eligible Individuals who are Medicare eligible but not enrolled may have claims denied by Blue Cross Blue Shield of Massachusetts and be subject to significant personal financial liability.</w:t>
      </w:r>
    </w:p>
    <w:p w14:paraId="16599894" w14:textId="77777777" w:rsidR="00425134" w:rsidRPr="0090051E" w:rsidRDefault="00425134" w:rsidP="00D70042"/>
    <w:p w14:paraId="3FA4EBCC" w14:textId="5DE483FC" w:rsidR="009F3CB4" w:rsidRPr="0090051E" w:rsidRDefault="009F3CB4" w:rsidP="00D70042">
      <w:pPr>
        <w:pStyle w:val="Heading2"/>
        <w:spacing w:before="0" w:after="120"/>
        <w:rPr>
          <w:i/>
          <w:color w:val="auto"/>
        </w:rPr>
      </w:pPr>
      <w:bookmarkStart w:id="45" w:name="_Toc7774551"/>
      <w:bookmarkStart w:id="46" w:name="_Toc232415500"/>
      <w:r w:rsidRPr="0090051E">
        <w:rPr>
          <w:i/>
          <w:color w:val="auto"/>
        </w:rPr>
        <w:t>3.</w:t>
      </w:r>
      <w:r w:rsidR="00425134" w:rsidRPr="0090051E">
        <w:rPr>
          <w:i/>
          <w:color w:val="auto"/>
        </w:rPr>
        <w:t>5</w:t>
      </w:r>
      <w:r w:rsidRPr="0090051E">
        <w:rPr>
          <w:i/>
          <w:color w:val="auto"/>
        </w:rPr>
        <w:t xml:space="preserve"> Notification in Change of Status</w:t>
      </w:r>
      <w:bookmarkEnd w:id="45"/>
      <w:bookmarkEnd w:id="46"/>
    </w:p>
    <w:p w14:paraId="34F6BD3D" w14:textId="5B824116" w:rsidR="009F3CB4" w:rsidRPr="0090051E" w:rsidRDefault="009F3CB4" w:rsidP="00D70042">
      <w:r w:rsidRPr="0090051E">
        <w:t xml:space="preserve">It is the responsibility of the </w:t>
      </w:r>
      <w:r w:rsidR="004B7BF8" w:rsidRPr="0090051E">
        <w:t xml:space="preserve">Department, Laboratory, Center or Institute </w:t>
      </w:r>
      <w:r w:rsidRPr="0090051E">
        <w:t xml:space="preserve">by which the individual is appointed to notify </w:t>
      </w:r>
      <w:r w:rsidR="00C002A0" w:rsidRPr="0090051E">
        <w:t>MIT Human Resources</w:t>
      </w:r>
      <w:r w:rsidRPr="0090051E">
        <w:t xml:space="preserve"> within thirty (30) days of any change in the status of the Affiliate which would affect their eligibility. Changes include, but are not limited to, a reduction in hours, a change in the length of the appointment, becoming an MIT employee, becoming a </w:t>
      </w:r>
      <w:r w:rsidR="0097602A" w:rsidRPr="0090051E">
        <w:t>s</w:t>
      </w:r>
      <w:r w:rsidRPr="0090051E">
        <w:t xml:space="preserve">tudent or leaving the Institute. No changes in status will be accepted directly </w:t>
      </w:r>
      <w:r w:rsidR="00BC2660" w:rsidRPr="0090051E">
        <w:t xml:space="preserve">from the </w:t>
      </w:r>
      <w:r w:rsidR="00F72653" w:rsidRPr="0090051E">
        <w:t>Department, Laboratory, Center or Institute</w:t>
      </w:r>
      <w:r w:rsidR="00BC2660" w:rsidRPr="0090051E">
        <w:t xml:space="preserve">, or </w:t>
      </w:r>
      <w:r w:rsidRPr="0090051E">
        <w:t xml:space="preserve">any </w:t>
      </w:r>
      <w:r w:rsidR="0097602A" w:rsidRPr="0090051E">
        <w:t xml:space="preserve">Other Eligible Individual </w:t>
      </w:r>
      <w:r w:rsidRPr="0090051E">
        <w:t>or their dependents.</w:t>
      </w:r>
    </w:p>
    <w:p w14:paraId="75669AAC" w14:textId="77777777" w:rsidR="009F3CB4" w:rsidRPr="0090051E" w:rsidRDefault="009F3CB4" w:rsidP="00D70042"/>
    <w:p w14:paraId="7C48B563" w14:textId="2CF3C8D9" w:rsidR="009F3CB4" w:rsidRPr="0090051E" w:rsidRDefault="009F3CB4" w:rsidP="00D70042">
      <w:pPr>
        <w:pStyle w:val="Heading2"/>
        <w:spacing w:before="0" w:after="120"/>
        <w:rPr>
          <w:i/>
          <w:color w:val="auto"/>
        </w:rPr>
      </w:pPr>
      <w:bookmarkStart w:id="47" w:name="_Toc7774552"/>
      <w:bookmarkStart w:id="48" w:name="_Toc232415501"/>
      <w:r w:rsidRPr="0090051E">
        <w:rPr>
          <w:i/>
          <w:color w:val="auto"/>
        </w:rPr>
        <w:t>3.</w:t>
      </w:r>
      <w:r w:rsidR="00425134" w:rsidRPr="0090051E">
        <w:rPr>
          <w:i/>
          <w:color w:val="auto"/>
        </w:rPr>
        <w:t>6</w:t>
      </w:r>
      <w:r w:rsidRPr="0090051E">
        <w:rPr>
          <w:i/>
          <w:color w:val="auto"/>
        </w:rPr>
        <w:t xml:space="preserve"> Additional Requirements for J-1 and J-2 Visa Holders</w:t>
      </w:r>
      <w:bookmarkEnd w:id="47"/>
      <w:bookmarkEnd w:id="48"/>
    </w:p>
    <w:p w14:paraId="0C638F61" w14:textId="36D5FA9C" w:rsidR="009F3CB4" w:rsidRPr="0090051E" w:rsidRDefault="0097602A" w:rsidP="00D70042">
      <w:r w:rsidRPr="0090051E">
        <w:t xml:space="preserve">Other Eligible Individuals </w:t>
      </w:r>
      <w:r w:rsidR="009F3CB4" w:rsidRPr="0090051E">
        <w:t>with a J-1 visa, as well as all dependents with J-2 visas, are required to have health insurance that meets U.S. Department of State requirements for the duration of participation in the exchange visitor program. Failure to have and maintain required coverage may lead to loss of legal immigration status.</w:t>
      </w:r>
    </w:p>
    <w:p w14:paraId="62802BD1" w14:textId="582B5A63" w:rsidR="009F3CB4" w:rsidRPr="0090051E" w:rsidRDefault="0097602A" w:rsidP="00D70042">
      <w:r w:rsidRPr="0090051E">
        <w:t xml:space="preserve">Other Eligible Individuals </w:t>
      </w:r>
      <w:r w:rsidR="009F3CB4" w:rsidRPr="0090051E">
        <w:t xml:space="preserve">with a J-1 visa, as well as eligible dependents with J-2 visas, may enroll in the </w:t>
      </w:r>
      <w:r w:rsidR="00D762F0" w:rsidRPr="0090051E">
        <w:t>MIT Student Health Insurance Plan</w:t>
      </w:r>
      <w:r w:rsidR="009F3CB4" w:rsidRPr="0090051E">
        <w:t>, which meets all U.S. Department of State</w:t>
      </w:r>
      <w:r w:rsidR="00EB5642" w:rsidRPr="0090051E">
        <w:t xml:space="preserve"> health insurance</w:t>
      </w:r>
      <w:r w:rsidR="009F3CB4" w:rsidRPr="0090051E">
        <w:t xml:space="preserve"> </w:t>
      </w:r>
      <w:r w:rsidR="009F3CB4" w:rsidRPr="0090051E">
        <w:lastRenderedPageBreak/>
        <w:t xml:space="preserve">requirements for J-1 and J-2 visa holders. </w:t>
      </w:r>
      <w:r w:rsidRPr="0090051E">
        <w:t xml:space="preserve">Other Eligible Individual </w:t>
      </w:r>
      <w:r w:rsidR="009F3CB4" w:rsidRPr="0090051E">
        <w:t xml:space="preserve">who </w:t>
      </w:r>
      <w:proofErr w:type="gramStart"/>
      <w:r w:rsidR="009F3CB4" w:rsidRPr="0090051E">
        <w:t>do</w:t>
      </w:r>
      <w:proofErr w:type="gramEnd"/>
      <w:r w:rsidR="009F3CB4" w:rsidRPr="0090051E">
        <w:t xml:space="preserve"> not enroll in the </w:t>
      </w:r>
      <w:r w:rsidR="00D762F0" w:rsidRPr="0090051E">
        <w:t>MIT Student Health Insurance Plan</w:t>
      </w:r>
      <w:r w:rsidR="009F3CB4" w:rsidRPr="0090051E">
        <w:t xml:space="preserve"> must meet all applicable U.S. Department of State requirements.</w:t>
      </w:r>
    </w:p>
    <w:p w14:paraId="44EEFC41" w14:textId="3208279A" w:rsidR="0097602A" w:rsidRPr="0090051E" w:rsidRDefault="0097602A" w:rsidP="00D70042">
      <w:r w:rsidRPr="0090051E">
        <w:t xml:space="preserve">Coverage in the MIT Student Health Insurance Plan begins consentient with timelines defined in </w:t>
      </w:r>
      <w:hyperlink w:anchor="_5.4_Initial_Enrollment" w:history="1">
        <w:r w:rsidRPr="0090051E">
          <w:rPr>
            <w:rStyle w:val="Hyperlink"/>
          </w:rPr>
          <w:t>Section 5.4</w:t>
        </w:r>
      </w:hyperlink>
      <w:r w:rsidRPr="0090051E">
        <w:t xml:space="preserve"> regardless of the date on which the visa holder arrives in the United States. It is the responsibility of the visa holder to be in compliance with any health insurance requirements prior to the start of coverage in the MIT Student Health Insurance Plan.</w:t>
      </w:r>
    </w:p>
    <w:p w14:paraId="2224CB47" w14:textId="0F8E4FBE" w:rsidR="0097602A" w:rsidRPr="0090051E" w:rsidRDefault="009F3CB4" w:rsidP="00D70042">
      <w:r w:rsidRPr="0090051E">
        <w:t xml:space="preserve">Holding a J-1/J-2 visa, alone, does not make an individual an eligible </w:t>
      </w:r>
      <w:r w:rsidR="00F00BF8" w:rsidRPr="0090051E">
        <w:t>individual</w:t>
      </w:r>
      <w:r w:rsidRPr="0090051E">
        <w:t xml:space="preserve"> who can purchase the MIT </w:t>
      </w:r>
      <w:r w:rsidR="005A4D67" w:rsidRPr="0090051E">
        <w:t>Student Health Insurance Plan</w:t>
      </w:r>
      <w:r w:rsidRPr="0090051E">
        <w:t>.</w:t>
      </w:r>
    </w:p>
    <w:p w14:paraId="38ADEF89" w14:textId="77777777" w:rsidR="0097602A" w:rsidRPr="0090051E" w:rsidRDefault="0097602A" w:rsidP="00D70042">
      <w:pPr>
        <w:pStyle w:val="Heading1"/>
        <w:spacing w:before="0" w:after="240"/>
        <w:rPr>
          <w:b/>
          <w:color w:val="C00000"/>
        </w:rPr>
        <w:sectPr w:rsidR="0097602A" w:rsidRPr="0090051E" w:rsidSect="00BA68BD">
          <w:pgSz w:w="12240" w:h="15840"/>
          <w:pgMar w:top="1440" w:right="1440" w:bottom="1440" w:left="1440" w:header="720" w:footer="720" w:gutter="0"/>
          <w:cols w:space="720"/>
          <w:docGrid w:linePitch="360"/>
        </w:sectPr>
      </w:pPr>
    </w:p>
    <w:p w14:paraId="0C74A4A5" w14:textId="2C4928EA" w:rsidR="00F20B55" w:rsidRPr="0090051E" w:rsidRDefault="00E64382" w:rsidP="00D70042">
      <w:pPr>
        <w:pStyle w:val="Heading1"/>
        <w:spacing w:before="0" w:after="240"/>
        <w:rPr>
          <w:b/>
          <w:color w:val="C00000"/>
        </w:rPr>
      </w:pPr>
      <w:bookmarkStart w:id="49" w:name="_Toc232415502"/>
      <w:r w:rsidRPr="0090051E">
        <w:rPr>
          <w:b/>
          <w:color w:val="C00000"/>
        </w:rPr>
        <w:lastRenderedPageBreak/>
        <w:t>4</w:t>
      </w:r>
      <w:r w:rsidR="00F20B55" w:rsidRPr="0090051E">
        <w:rPr>
          <w:b/>
          <w:color w:val="C00000"/>
        </w:rPr>
        <w:t>.0 Spouses, Children and Dependents</w:t>
      </w:r>
      <w:bookmarkEnd w:id="49"/>
    </w:p>
    <w:p w14:paraId="71DD0037" w14:textId="368954AE" w:rsidR="00F20B55" w:rsidRPr="0090051E" w:rsidRDefault="00E64382" w:rsidP="00D70042">
      <w:pPr>
        <w:pStyle w:val="Heading2"/>
        <w:spacing w:before="0" w:after="120"/>
        <w:rPr>
          <w:i/>
          <w:color w:val="auto"/>
        </w:rPr>
      </w:pPr>
      <w:bookmarkStart w:id="50" w:name="_Toc232415503"/>
      <w:r w:rsidRPr="0090051E">
        <w:rPr>
          <w:i/>
          <w:color w:val="auto"/>
        </w:rPr>
        <w:t>4</w:t>
      </w:r>
      <w:r w:rsidR="00F20B55" w:rsidRPr="0090051E">
        <w:rPr>
          <w:i/>
          <w:color w:val="auto"/>
        </w:rPr>
        <w:t>.1 Definitions</w:t>
      </w:r>
      <w:bookmarkEnd w:id="50"/>
      <w:r w:rsidR="00F20B55" w:rsidRPr="0090051E">
        <w:rPr>
          <w:i/>
          <w:color w:val="auto"/>
        </w:rPr>
        <w:t xml:space="preserve"> </w:t>
      </w:r>
    </w:p>
    <w:p w14:paraId="465E399D" w14:textId="16EEC1DF" w:rsidR="00F20B55" w:rsidRPr="0090051E" w:rsidRDefault="00F20B55" w:rsidP="00D70042">
      <w:r w:rsidRPr="0090051E">
        <w:t xml:space="preserve">The following </w:t>
      </w:r>
      <w:r w:rsidR="00C42205" w:rsidRPr="0090051E">
        <w:t>dependents of eligible students</w:t>
      </w:r>
      <w:r w:rsidR="00952805" w:rsidRPr="0090051E">
        <w:t xml:space="preserve">, </w:t>
      </w:r>
      <w:r w:rsidR="00B55069" w:rsidRPr="0090051E">
        <w:t>visiting students</w:t>
      </w:r>
      <w:r w:rsidR="00952805" w:rsidRPr="0090051E">
        <w:t xml:space="preserve"> and </w:t>
      </w:r>
      <w:r w:rsidR="00DB0A8F" w:rsidRPr="0090051E">
        <w:t xml:space="preserve">Other Eligible Individuals </w:t>
      </w:r>
      <w:r w:rsidRPr="0090051E">
        <w:t xml:space="preserve">are eligible for enrollment in the </w:t>
      </w:r>
      <w:r w:rsidR="00E5735C" w:rsidRPr="0090051E">
        <w:t>MIT Student Health Insurance Plan</w:t>
      </w:r>
      <w:r w:rsidRPr="0090051E">
        <w:t>:</w:t>
      </w:r>
    </w:p>
    <w:p w14:paraId="27D50AC9" w14:textId="77777777" w:rsidR="00F20B55" w:rsidRPr="0090051E" w:rsidRDefault="00F20B55">
      <w:pPr>
        <w:pStyle w:val="ListParagraph"/>
        <w:numPr>
          <w:ilvl w:val="0"/>
          <w:numId w:val="8"/>
        </w:numPr>
      </w:pPr>
      <w:r w:rsidRPr="0090051E">
        <w:t>Spouse;</w:t>
      </w:r>
    </w:p>
    <w:p w14:paraId="330B9730" w14:textId="51E45870" w:rsidR="00F20B55" w:rsidRPr="0090051E" w:rsidRDefault="00F20B55">
      <w:pPr>
        <w:pStyle w:val="ListParagraph"/>
        <w:numPr>
          <w:ilvl w:val="0"/>
          <w:numId w:val="8"/>
        </w:numPr>
      </w:pPr>
      <w:r w:rsidRPr="0090051E">
        <w:t xml:space="preserve">Domestic partner/spousal equivalent (see </w:t>
      </w:r>
      <w:hyperlink w:anchor="_4.2_Domestic_Partner/Spousal" w:history="1">
        <w:r w:rsidR="008C0DCA" w:rsidRPr="0090051E">
          <w:rPr>
            <w:rStyle w:val="Hyperlink"/>
          </w:rPr>
          <w:t>Section 4.2</w:t>
        </w:r>
      </w:hyperlink>
      <w:r w:rsidRPr="0090051E">
        <w:t xml:space="preserve"> below);</w:t>
      </w:r>
    </w:p>
    <w:p w14:paraId="5EB3E1EE" w14:textId="67FE88C7" w:rsidR="00F20B55" w:rsidRPr="0090051E" w:rsidRDefault="00F20B55">
      <w:pPr>
        <w:pStyle w:val="ListParagraph"/>
        <w:numPr>
          <w:ilvl w:val="0"/>
          <w:numId w:val="8"/>
        </w:numPr>
      </w:pPr>
      <w:r w:rsidRPr="0090051E">
        <w:t xml:space="preserve">Child </w:t>
      </w:r>
      <w:r w:rsidR="006829F7" w:rsidRPr="0090051E">
        <w:t>through the last day of their 25</w:t>
      </w:r>
      <w:r w:rsidR="006829F7" w:rsidRPr="0090051E">
        <w:rPr>
          <w:vertAlign w:val="superscript"/>
        </w:rPr>
        <w:t>th</w:t>
      </w:r>
      <w:r w:rsidR="006829F7" w:rsidRPr="0090051E">
        <w:t xml:space="preserve"> year</w:t>
      </w:r>
      <w:r w:rsidRPr="0090051E">
        <w:t>;</w:t>
      </w:r>
    </w:p>
    <w:p w14:paraId="35EF4AF7" w14:textId="2AD219C1" w:rsidR="00F20B55" w:rsidRPr="0090051E" w:rsidRDefault="00F20B55">
      <w:pPr>
        <w:pStyle w:val="ListParagraph"/>
        <w:numPr>
          <w:ilvl w:val="0"/>
          <w:numId w:val="8"/>
        </w:numPr>
      </w:pPr>
      <w:r w:rsidRPr="0090051E">
        <w:t xml:space="preserve">Adopted child </w:t>
      </w:r>
      <w:r w:rsidR="006829F7" w:rsidRPr="0090051E">
        <w:t>through the last day of their 25</w:t>
      </w:r>
      <w:r w:rsidR="006829F7" w:rsidRPr="0090051E">
        <w:rPr>
          <w:vertAlign w:val="superscript"/>
        </w:rPr>
        <w:t>th</w:t>
      </w:r>
      <w:r w:rsidR="006829F7" w:rsidRPr="0090051E">
        <w:t xml:space="preserve"> year</w:t>
      </w:r>
      <w:r w:rsidRPr="0090051E">
        <w:t>;</w:t>
      </w:r>
    </w:p>
    <w:p w14:paraId="381BC7F6" w14:textId="5932C453" w:rsidR="00F20B55" w:rsidRPr="0090051E" w:rsidRDefault="00F20B55">
      <w:pPr>
        <w:pStyle w:val="ListParagraph"/>
        <w:numPr>
          <w:ilvl w:val="0"/>
          <w:numId w:val="8"/>
        </w:numPr>
      </w:pPr>
      <w:r w:rsidRPr="0090051E">
        <w:t xml:space="preserve">Step-child </w:t>
      </w:r>
      <w:r w:rsidR="006829F7" w:rsidRPr="0090051E">
        <w:t>through the last day of their 25</w:t>
      </w:r>
      <w:r w:rsidR="006829F7" w:rsidRPr="0090051E">
        <w:rPr>
          <w:vertAlign w:val="superscript"/>
        </w:rPr>
        <w:t>th</w:t>
      </w:r>
      <w:r w:rsidR="006829F7" w:rsidRPr="0090051E">
        <w:t xml:space="preserve"> year</w:t>
      </w:r>
      <w:r w:rsidRPr="0090051E">
        <w:t>;</w:t>
      </w:r>
    </w:p>
    <w:p w14:paraId="1CD3073B" w14:textId="0BA27B5F" w:rsidR="00F20B55" w:rsidRPr="0090051E" w:rsidRDefault="00F20B55">
      <w:pPr>
        <w:pStyle w:val="ListParagraph"/>
        <w:numPr>
          <w:ilvl w:val="0"/>
          <w:numId w:val="8"/>
        </w:numPr>
      </w:pPr>
      <w:r w:rsidRPr="0090051E">
        <w:t xml:space="preserve">Child </w:t>
      </w:r>
      <w:r w:rsidR="006829F7" w:rsidRPr="0090051E">
        <w:t>through the last day of their 25</w:t>
      </w:r>
      <w:r w:rsidR="006829F7" w:rsidRPr="0090051E">
        <w:rPr>
          <w:vertAlign w:val="superscript"/>
        </w:rPr>
        <w:t>th</w:t>
      </w:r>
      <w:r w:rsidR="006829F7" w:rsidRPr="0090051E">
        <w:t xml:space="preserve"> year</w:t>
      </w:r>
      <w:r w:rsidR="006829F7" w:rsidRPr="0090051E" w:rsidDel="006829F7">
        <w:t xml:space="preserve"> </w:t>
      </w:r>
      <w:r w:rsidRPr="0090051E">
        <w:t>for whom the student or affiliate is the Legal Guardian;</w:t>
      </w:r>
    </w:p>
    <w:p w14:paraId="66C91442" w14:textId="3366355E" w:rsidR="00F20B55" w:rsidRPr="0090051E" w:rsidRDefault="00F20B55">
      <w:pPr>
        <w:pStyle w:val="ListParagraph"/>
        <w:numPr>
          <w:ilvl w:val="0"/>
          <w:numId w:val="8"/>
        </w:numPr>
      </w:pPr>
      <w:r w:rsidRPr="0090051E">
        <w:t>Child recognized under a Qualified Medical Child Support Order</w:t>
      </w:r>
      <w:r w:rsidR="006829F7" w:rsidRPr="0090051E">
        <w:t xml:space="preserve"> through the last day of their 25</w:t>
      </w:r>
      <w:r w:rsidR="006829F7" w:rsidRPr="0090051E">
        <w:rPr>
          <w:vertAlign w:val="superscript"/>
        </w:rPr>
        <w:t>th</w:t>
      </w:r>
      <w:r w:rsidR="006829F7" w:rsidRPr="0090051E">
        <w:t xml:space="preserve"> year</w:t>
      </w:r>
      <w:r w:rsidRPr="0090051E">
        <w:t>;</w:t>
      </w:r>
    </w:p>
    <w:p w14:paraId="4B1B2029" w14:textId="7363AF78" w:rsidR="0047685A" w:rsidRPr="0090051E" w:rsidRDefault="00F20B55">
      <w:pPr>
        <w:pStyle w:val="ListParagraph"/>
        <w:numPr>
          <w:ilvl w:val="0"/>
          <w:numId w:val="8"/>
        </w:numPr>
      </w:pPr>
      <w:r w:rsidRPr="0090051E">
        <w:t xml:space="preserve">Child from any of the above categories with a mental or physical disability </w:t>
      </w:r>
      <w:r w:rsidR="006829F7" w:rsidRPr="0090051E">
        <w:t>through the last day of their 25</w:t>
      </w:r>
      <w:r w:rsidR="006829F7" w:rsidRPr="0090051E">
        <w:rPr>
          <w:vertAlign w:val="superscript"/>
        </w:rPr>
        <w:t>th</w:t>
      </w:r>
      <w:r w:rsidR="006829F7" w:rsidRPr="0090051E">
        <w:t xml:space="preserve"> year</w:t>
      </w:r>
      <w:r w:rsidR="006829F7" w:rsidRPr="0090051E" w:rsidDel="006829F7">
        <w:t xml:space="preserve"> </w:t>
      </w:r>
      <w:r w:rsidRPr="0090051E">
        <w:t xml:space="preserve">or older who is not able to earn his or her own living; </w:t>
      </w:r>
    </w:p>
    <w:p w14:paraId="6AADAC38" w14:textId="3E7F5ABE" w:rsidR="00F20B55" w:rsidRPr="0090051E" w:rsidRDefault="0047685A">
      <w:pPr>
        <w:pStyle w:val="ListParagraph"/>
        <w:numPr>
          <w:ilvl w:val="0"/>
          <w:numId w:val="8"/>
        </w:numPr>
      </w:pPr>
      <w:r w:rsidRPr="0090051E">
        <w:t xml:space="preserve">Child </w:t>
      </w:r>
      <w:r w:rsidR="006829F7" w:rsidRPr="0090051E">
        <w:t>through the last day of their 25</w:t>
      </w:r>
      <w:r w:rsidR="006829F7" w:rsidRPr="0090051E">
        <w:rPr>
          <w:vertAlign w:val="superscript"/>
        </w:rPr>
        <w:t>th</w:t>
      </w:r>
      <w:r w:rsidR="006829F7" w:rsidRPr="0090051E">
        <w:t xml:space="preserve"> year</w:t>
      </w:r>
      <w:r w:rsidR="006829F7" w:rsidRPr="0090051E" w:rsidDel="006829F7">
        <w:rPr>
          <w:rStyle w:val="CommentReference"/>
        </w:rPr>
        <w:t xml:space="preserve"> </w:t>
      </w:r>
      <w:r w:rsidRPr="0090051E">
        <w:t xml:space="preserve">of an enrolled dependent child; </w:t>
      </w:r>
      <w:r w:rsidR="00F20B55" w:rsidRPr="0090051E">
        <w:t>and</w:t>
      </w:r>
    </w:p>
    <w:p w14:paraId="23B4CCB1" w14:textId="36C8F115" w:rsidR="00F20B55" w:rsidRPr="0090051E" w:rsidRDefault="00F20B55">
      <w:pPr>
        <w:pStyle w:val="ListParagraph"/>
        <w:numPr>
          <w:ilvl w:val="0"/>
          <w:numId w:val="8"/>
        </w:numPr>
      </w:pPr>
      <w:r w:rsidRPr="0090051E">
        <w:t>Divorced spouse with a court ordered requirement to provide health insurance.</w:t>
      </w:r>
    </w:p>
    <w:p w14:paraId="6A1D6ECD" w14:textId="77777777" w:rsidR="00F20B55" w:rsidRPr="0090051E" w:rsidRDefault="00F20B55" w:rsidP="00D70042"/>
    <w:p w14:paraId="063099C6" w14:textId="1EC22236" w:rsidR="00F20B55" w:rsidRPr="0090051E" w:rsidRDefault="00E64382" w:rsidP="00D70042">
      <w:pPr>
        <w:pStyle w:val="Heading2"/>
        <w:spacing w:before="0" w:after="120"/>
        <w:rPr>
          <w:i/>
          <w:color w:val="auto"/>
        </w:rPr>
      </w:pPr>
      <w:bookmarkStart w:id="51" w:name="_4.2_Domestic_Partner/Spousal"/>
      <w:bookmarkStart w:id="52" w:name="_Toc232415504"/>
      <w:bookmarkEnd w:id="51"/>
      <w:r w:rsidRPr="0090051E">
        <w:rPr>
          <w:i/>
          <w:color w:val="auto"/>
        </w:rPr>
        <w:t>4</w:t>
      </w:r>
      <w:r w:rsidR="00F20B55" w:rsidRPr="0090051E">
        <w:rPr>
          <w:i/>
          <w:color w:val="auto"/>
        </w:rPr>
        <w:t>.2 Domestic Partner/Spousal Equivalent</w:t>
      </w:r>
      <w:bookmarkEnd w:id="52"/>
    </w:p>
    <w:p w14:paraId="1187F89B" w14:textId="7DA14000" w:rsidR="00F20B55" w:rsidRPr="0090051E" w:rsidRDefault="00F20B55" w:rsidP="00D70042">
      <w:r w:rsidRPr="0090051E">
        <w:t xml:space="preserve">The </w:t>
      </w:r>
      <w:r w:rsidR="00952805" w:rsidRPr="0090051E">
        <w:t xml:space="preserve">eligible student, visiting student or </w:t>
      </w:r>
      <w:r w:rsidR="00DB0A8F" w:rsidRPr="0090051E">
        <w:t xml:space="preserve">Other Eligible Individual </w:t>
      </w:r>
      <w:r w:rsidRPr="0090051E">
        <w:t>and domestic partner or spousal equivalent must attest to the following eligibility</w:t>
      </w:r>
      <w:r w:rsidR="007C64EE" w:rsidRPr="0090051E">
        <w:t xml:space="preserve"> requirements</w:t>
      </w:r>
      <w:r w:rsidR="00BC2660" w:rsidRPr="0090051E">
        <w:t xml:space="preserve"> at time of enrollment</w:t>
      </w:r>
      <w:r w:rsidRPr="0090051E">
        <w:t>:</w:t>
      </w:r>
    </w:p>
    <w:p w14:paraId="28590436" w14:textId="77777777" w:rsidR="00F20B55" w:rsidRPr="0090051E" w:rsidRDefault="00F20B55">
      <w:pPr>
        <w:pStyle w:val="ListParagraph"/>
        <w:numPr>
          <w:ilvl w:val="0"/>
          <w:numId w:val="7"/>
        </w:numPr>
      </w:pPr>
      <w:r w:rsidRPr="0090051E">
        <w:t xml:space="preserve">Both parties are at least eighteen (18) years of age; </w:t>
      </w:r>
    </w:p>
    <w:p w14:paraId="7A036467" w14:textId="77777777" w:rsidR="00F20B55" w:rsidRPr="0090051E" w:rsidRDefault="00F20B55">
      <w:pPr>
        <w:pStyle w:val="ListParagraph"/>
        <w:numPr>
          <w:ilvl w:val="0"/>
          <w:numId w:val="7"/>
        </w:numPr>
      </w:pPr>
      <w:r w:rsidRPr="0090051E">
        <w:t>Neither party is married to someone other than the domestic partner/spousal equivalent;</w:t>
      </w:r>
    </w:p>
    <w:p w14:paraId="6F2FCCFC" w14:textId="77777777" w:rsidR="00F20B55" w:rsidRPr="0090051E" w:rsidRDefault="00F20B55">
      <w:pPr>
        <w:pStyle w:val="ListParagraph"/>
        <w:numPr>
          <w:ilvl w:val="0"/>
          <w:numId w:val="7"/>
        </w:numPr>
      </w:pPr>
      <w:r w:rsidRPr="0090051E">
        <w:t>Both parties are the other’s sole domestic partner and intend to remain so indefinitely;</w:t>
      </w:r>
    </w:p>
    <w:p w14:paraId="17D7CC45" w14:textId="77777777" w:rsidR="00F20B55" w:rsidRPr="0090051E" w:rsidRDefault="00F20B55">
      <w:pPr>
        <w:pStyle w:val="ListParagraph"/>
        <w:numPr>
          <w:ilvl w:val="0"/>
          <w:numId w:val="7"/>
        </w:numPr>
      </w:pPr>
      <w:r w:rsidRPr="0090051E">
        <w:t>Neither party is related by blood to a degree of closeness which would prohibit legal marriage in Massachusetts;</w:t>
      </w:r>
    </w:p>
    <w:p w14:paraId="4CC43C1F" w14:textId="77777777" w:rsidR="00F20B55" w:rsidRPr="0090051E" w:rsidRDefault="00F20B55">
      <w:pPr>
        <w:pStyle w:val="ListParagraph"/>
        <w:numPr>
          <w:ilvl w:val="0"/>
          <w:numId w:val="7"/>
        </w:numPr>
      </w:pPr>
      <w:r w:rsidRPr="0090051E">
        <w:t>Both parties have occupied a shared residence for at the past four (4) consecutive months and intend to do so indefinitely; and</w:t>
      </w:r>
    </w:p>
    <w:p w14:paraId="1F434EED" w14:textId="77777777" w:rsidR="00F20B55" w:rsidRPr="0090051E" w:rsidRDefault="00F20B55">
      <w:pPr>
        <w:pStyle w:val="ListParagraph"/>
        <w:numPr>
          <w:ilvl w:val="0"/>
          <w:numId w:val="7"/>
        </w:numPr>
      </w:pPr>
      <w:r w:rsidRPr="0090051E">
        <w:t>Both parties consider themselves life partners, share joint responsibility for their common welfare and are financially interdependent.</w:t>
      </w:r>
    </w:p>
    <w:p w14:paraId="74378F85" w14:textId="78B44BCD" w:rsidR="00F20B55" w:rsidRPr="0090051E" w:rsidRDefault="00F20B55" w:rsidP="00D70042">
      <w:r w:rsidRPr="0090051E">
        <w:t>Roommates, siblings and parents do not qualify as domestic partners or spousal equivalents.</w:t>
      </w:r>
    </w:p>
    <w:p w14:paraId="1289CEB7" w14:textId="77777777" w:rsidR="0047685A" w:rsidRPr="0090051E" w:rsidRDefault="0047685A" w:rsidP="00D70042">
      <w:pPr>
        <w:rPr>
          <w:rFonts w:asciiTheme="majorHAnsi" w:eastAsiaTheme="majorEastAsia" w:hAnsiTheme="majorHAnsi" w:cstheme="majorBidi"/>
          <w:i/>
          <w:sz w:val="26"/>
          <w:szCs w:val="26"/>
        </w:rPr>
      </w:pPr>
      <w:r w:rsidRPr="0090051E">
        <w:rPr>
          <w:i/>
        </w:rPr>
        <w:br w:type="page"/>
      </w:r>
    </w:p>
    <w:p w14:paraId="4BCBFD73" w14:textId="0216CC87" w:rsidR="0047685A" w:rsidRPr="0090051E" w:rsidRDefault="00E64382" w:rsidP="00D70042">
      <w:pPr>
        <w:pStyle w:val="Heading2"/>
        <w:spacing w:before="0" w:after="120"/>
        <w:rPr>
          <w:i/>
          <w:color w:val="auto"/>
        </w:rPr>
      </w:pPr>
      <w:bookmarkStart w:id="53" w:name="_Toc232415505"/>
      <w:r w:rsidRPr="0090051E">
        <w:rPr>
          <w:i/>
          <w:color w:val="auto"/>
        </w:rPr>
        <w:lastRenderedPageBreak/>
        <w:t>4</w:t>
      </w:r>
      <w:r w:rsidR="0047685A" w:rsidRPr="0090051E">
        <w:rPr>
          <w:i/>
          <w:color w:val="auto"/>
        </w:rPr>
        <w:t>.3 Documentation</w:t>
      </w:r>
      <w:bookmarkEnd w:id="53"/>
    </w:p>
    <w:p w14:paraId="6BC6FCBE" w14:textId="4DEDADF3" w:rsidR="0047685A" w:rsidRPr="0090051E" w:rsidRDefault="007C64EE" w:rsidP="00D70042">
      <w:r w:rsidRPr="0090051E">
        <w:t xml:space="preserve">The MIT Student insurance office </w:t>
      </w:r>
      <w:r w:rsidR="00061642" w:rsidRPr="0090051E">
        <w:t>and/</w:t>
      </w:r>
      <w:r w:rsidRPr="0090051E">
        <w:t xml:space="preserve">or its vendors may require, at </w:t>
      </w:r>
      <w:r w:rsidR="009F1FA0" w:rsidRPr="0090051E">
        <w:t>its sole</w:t>
      </w:r>
      <w:r w:rsidRPr="0090051E">
        <w:t xml:space="preserve"> discretion, that a </w:t>
      </w:r>
      <w:r w:rsidR="00C42205" w:rsidRPr="0090051E">
        <w:t>student</w:t>
      </w:r>
      <w:r w:rsidR="00DB0A8F" w:rsidRPr="0090051E">
        <w:t xml:space="preserve">, </w:t>
      </w:r>
      <w:r w:rsidR="00B55069" w:rsidRPr="0090051E">
        <w:t xml:space="preserve">visiting student </w:t>
      </w:r>
      <w:r w:rsidR="00DB0A8F" w:rsidRPr="0090051E">
        <w:t xml:space="preserve">or Other Eligible Individual </w:t>
      </w:r>
      <w:r w:rsidR="00B67431" w:rsidRPr="0090051E">
        <w:t>provide appropriate documentation demonstrating the eligibility of any dependent prior to enrollment of that dependent into coverage.</w:t>
      </w:r>
    </w:p>
    <w:tbl>
      <w:tblPr>
        <w:tblStyle w:val="GridTable2"/>
        <w:tblW w:w="0" w:type="auto"/>
        <w:tblCellMar>
          <w:top w:w="29" w:type="dxa"/>
          <w:left w:w="115" w:type="dxa"/>
          <w:bottom w:w="29" w:type="dxa"/>
          <w:right w:w="115" w:type="dxa"/>
        </w:tblCellMar>
        <w:tblLook w:val="04A0" w:firstRow="1" w:lastRow="0" w:firstColumn="1" w:lastColumn="0" w:noHBand="0" w:noVBand="1"/>
      </w:tblPr>
      <w:tblGrid>
        <w:gridCol w:w="3420"/>
        <w:gridCol w:w="5930"/>
      </w:tblGrid>
      <w:tr w:rsidR="0047685A" w:rsidRPr="0090051E" w14:paraId="59C4AF7D" w14:textId="77777777" w:rsidTr="004A5D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Pr>
          <w:p w14:paraId="4BDAE84E" w14:textId="77777777" w:rsidR="0047685A" w:rsidRPr="0090051E" w:rsidRDefault="0047685A" w:rsidP="00D70042">
            <w:pPr>
              <w:rPr>
                <w:sz w:val="20"/>
                <w:szCs w:val="20"/>
              </w:rPr>
            </w:pPr>
            <w:r w:rsidRPr="0090051E">
              <w:rPr>
                <w:sz w:val="20"/>
                <w:szCs w:val="20"/>
              </w:rPr>
              <w:t>Dependent</w:t>
            </w:r>
            <w:r w:rsidR="00322E54" w:rsidRPr="0090051E">
              <w:rPr>
                <w:sz w:val="20"/>
                <w:szCs w:val="20"/>
              </w:rPr>
              <w:t xml:space="preserve"> Type</w:t>
            </w:r>
          </w:p>
        </w:tc>
        <w:tc>
          <w:tcPr>
            <w:tcW w:w="5930" w:type="dxa"/>
          </w:tcPr>
          <w:p w14:paraId="280EC5BD" w14:textId="77777777" w:rsidR="0047685A" w:rsidRPr="0090051E" w:rsidRDefault="0047685A" w:rsidP="00D70042">
            <w:pPr>
              <w:cnfStyle w:val="100000000000" w:firstRow="1" w:lastRow="0" w:firstColumn="0" w:lastColumn="0" w:oddVBand="0" w:evenVBand="0" w:oddHBand="0" w:evenHBand="0" w:firstRowFirstColumn="0" w:firstRowLastColumn="0" w:lastRowFirstColumn="0" w:lastRowLastColumn="0"/>
              <w:rPr>
                <w:sz w:val="20"/>
                <w:szCs w:val="20"/>
              </w:rPr>
            </w:pPr>
            <w:r w:rsidRPr="0090051E">
              <w:rPr>
                <w:sz w:val="20"/>
                <w:szCs w:val="20"/>
              </w:rPr>
              <w:t>Required Documentation</w:t>
            </w:r>
          </w:p>
        </w:tc>
      </w:tr>
      <w:tr w:rsidR="0047685A" w:rsidRPr="0090051E" w14:paraId="12D25930" w14:textId="77777777" w:rsidTr="00A31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vAlign w:val="center"/>
          </w:tcPr>
          <w:p w14:paraId="698D215B" w14:textId="77777777" w:rsidR="0047685A" w:rsidRPr="0090051E" w:rsidRDefault="0047685A" w:rsidP="00D70042">
            <w:pPr>
              <w:rPr>
                <w:b w:val="0"/>
                <w:sz w:val="20"/>
                <w:szCs w:val="20"/>
              </w:rPr>
            </w:pPr>
            <w:r w:rsidRPr="0090051E">
              <w:rPr>
                <w:rFonts w:ascii="Calibri" w:hAnsi="Calibri"/>
                <w:b w:val="0"/>
                <w:bCs w:val="0"/>
                <w:color w:val="000000"/>
                <w:sz w:val="20"/>
                <w:szCs w:val="20"/>
              </w:rPr>
              <w:t>Spouse</w:t>
            </w:r>
          </w:p>
        </w:tc>
        <w:tc>
          <w:tcPr>
            <w:tcW w:w="5930" w:type="dxa"/>
            <w:vAlign w:val="center"/>
          </w:tcPr>
          <w:p w14:paraId="66457CD1" w14:textId="77777777" w:rsidR="0047685A" w:rsidRPr="0090051E" w:rsidRDefault="0047685A" w:rsidP="00D70042">
            <w:pPr>
              <w:cnfStyle w:val="000000100000" w:firstRow="0" w:lastRow="0" w:firstColumn="0" w:lastColumn="0" w:oddVBand="0" w:evenVBand="0" w:oddHBand="1" w:evenHBand="0" w:firstRowFirstColumn="0" w:firstRowLastColumn="0" w:lastRowFirstColumn="0" w:lastRowLastColumn="0"/>
              <w:rPr>
                <w:sz w:val="20"/>
                <w:szCs w:val="20"/>
              </w:rPr>
            </w:pPr>
            <w:r w:rsidRPr="0090051E">
              <w:rPr>
                <w:rFonts w:ascii="Calibri" w:hAnsi="Calibri"/>
                <w:bCs/>
                <w:color w:val="000000"/>
                <w:sz w:val="20"/>
                <w:szCs w:val="20"/>
              </w:rPr>
              <w:t>Marriage certificate</w:t>
            </w:r>
            <w:r w:rsidRPr="0090051E">
              <w:rPr>
                <w:rFonts w:ascii="Calibri" w:hAnsi="Calibri"/>
                <w:color w:val="000000"/>
                <w:sz w:val="20"/>
                <w:szCs w:val="20"/>
              </w:rPr>
              <w:t xml:space="preserve"> </w:t>
            </w:r>
            <w:r w:rsidR="005C706E" w:rsidRPr="0090051E">
              <w:rPr>
                <w:rFonts w:ascii="Calibri" w:hAnsi="Calibri"/>
                <w:color w:val="000000"/>
                <w:sz w:val="20"/>
                <w:szCs w:val="20"/>
              </w:rPr>
              <w:t>or I-20 form (international students only)</w:t>
            </w:r>
          </w:p>
        </w:tc>
      </w:tr>
      <w:tr w:rsidR="0047685A" w:rsidRPr="0090051E" w14:paraId="55592CDC" w14:textId="77777777" w:rsidTr="00A3121F">
        <w:tc>
          <w:tcPr>
            <w:cnfStyle w:val="001000000000" w:firstRow="0" w:lastRow="0" w:firstColumn="1" w:lastColumn="0" w:oddVBand="0" w:evenVBand="0" w:oddHBand="0" w:evenHBand="0" w:firstRowFirstColumn="0" w:firstRowLastColumn="0" w:lastRowFirstColumn="0" w:lastRowLastColumn="0"/>
            <w:tcW w:w="3420" w:type="dxa"/>
            <w:vAlign w:val="center"/>
          </w:tcPr>
          <w:p w14:paraId="2AB43232" w14:textId="77777777" w:rsidR="0047685A" w:rsidRPr="0090051E" w:rsidRDefault="0047685A" w:rsidP="00D70042">
            <w:pPr>
              <w:rPr>
                <w:b w:val="0"/>
                <w:sz w:val="20"/>
                <w:szCs w:val="20"/>
              </w:rPr>
            </w:pPr>
            <w:r w:rsidRPr="0090051E">
              <w:rPr>
                <w:rFonts w:ascii="Calibri" w:hAnsi="Calibri"/>
                <w:b w:val="0"/>
                <w:bCs w:val="0"/>
                <w:color w:val="000000"/>
                <w:sz w:val="20"/>
                <w:szCs w:val="20"/>
              </w:rPr>
              <w:t>Domestic partner/spousal equivalent</w:t>
            </w:r>
          </w:p>
        </w:tc>
        <w:tc>
          <w:tcPr>
            <w:tcW w:w="5930" w:type="dxa"/>
            <w:vAlign w:val="center"/>
          </w:tcPr>
          <w:p w14:paraId="5DF68500" w14:textId="77777777" w:rsidR="0047685A" w:rsidRPr="0090051E" w:rsidRDefault="0047685A" w:rsidP="00D70042">
            <w:pPr>
              <w:cnfStyle w:val="000000000000" w:firstRow="0" w:lastRow="0" w:firstColumn="0" w:lastColumn="0" w:oddVBand="0" w:evenVBand="0" w:oddHBand="0" w:evenHBand="0" w:firstRowFirstColumn="0" w:firstRowLastColumn="0" w:lastRowFirstColumn="0" w:lastRowLastColumn="0"/>
              <w:rPr>
                <w:sz w:val="20"/>
                <w:szCs w:val="20"/>
              </w:rPr>
            </w:pPr>
            <w:r w:rsidRPr="0090051E">
              <w:rPr>
                <w:rFonts w:ascii="Calibri" w:hAnsi="Calibri"/>
                <w:bCs/>
                <w:color w:val="000000"/>
                <w:sz w:val="20"/>
                <w:szCs w:val="20"/>
              </w:rPr>
              <w:t>Affidavit of Spousal Equivalent Partnership</w:t>
            </w:r>
          </w:p>
        </w:tc>
      </w:tr>
      <w:tr w:rsidR="0047685A" w:rsidRPr="0090051E" w14:paraId="66A47F46" w14:textId="77777777" w:rsidTr="00A31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vAlign w:val="center"/>
          </w:tcPr>
          <w:p w14:paraId="591AE849" w14:textId="77777777" w:rsidR="0047685A" w:rsidRPr="0090051E" w:rsidRDefault="0047685A" w:rsidP="00D70042">
            <w:pPr>
              <w:rPr>
                <w:b w:val="0"/>
                <w:sz w:val="20"/>
                <w:szCs w:val="20"/>
              </w:rPr>
            </w:pPr>
            <w:r w:rsidRPr="0090051E">
              <w:rPr>
                <w:rFonts w:ascii="Calibri" w:hAnsi="Calibri"/>
                <w:b w:val="0"/>
                <w:bCs w:val="0"/>
                <w:color w:val="000000"/>
                <w:sz w:val="20"/>
                <w:szCs w:val="20"/>
              </w:rPr>
              <w:t>Birth child</w:t>
            </w:r>
          </w:p>
        </w:tc>
        <w:tc>
          <w:tcPr>
            <w:tcW w:w="5930" w:type="dxa"/>
            <w:vAlign w:val="center"/>
          </w:tcPr>
          <w:p w14:paraId="784E15BA" w14:textId="77777777" w:rsidR="0047685A" w:rsidRPr="0090051E" w:rsidRDefault="0047685A" w:rsidP="00D70042">
            <w:pPr>
              <w:cnfStyle w:val="000000100000" w:firstRow="0" w:lastRow="0" w:firstColumn="0" w:lastColumn="0" w:oddVBand="0" w:evenVBand="0" w:oddHBand="1" w:evenHBand="0" w:firstRowFirstColumn="0" w:firstRowLastColumn="0" w:lastRowFirstColumn="0" w:lastRowLastColumn="0"/>
              <w:rPr>
                <w:sz w:val="20"/>
                <w:szCs w:val="20"/>
              </w:rPr>
            </w:pPr>
            <w:r w:rsidRPr="0090051E">
              <w:rPr>
                <w:rFonts w:ascii="Calibri" w:hAnsi="Calibri"/>
                <w:bCs/>
                <w:color w:val="000000"/>
                <w:sz w:val="20"/>
                <w:szCs w:val="20"/>
              </w:rPr>
              <w:t>Birth certificate</w:t>
            </w:r>
          </w:p>
        </w:tc>
      </w:tr>
      <w:tr w:rsidR="0047685A" w:rsidRPr="0090051E" w14:paraId="7380954D" w14:textId="77777777" w:rsidTr="00A3121F">
        <w:tc>
          <w:tcPr>
            <w:cnfStyle w:val="001000000000" w:firstRow="0" w:lastRow="0" w:firstColumn="1" w:lastColumn="0" w:oddVBand="0" w:evenVBand="0" w:oddHBand="0" w:evenHBand="0" w:firstRowFirstColumn="0" w:firstRowLastColumn="0" w:lastRowFirstColumn="0" w:lastRowLastColumn="0"/>
            <w:tcW w:w="3420" w:type="dxa"/>
            <w:vAlign w:val="center"/>
          </w:tcPr>
          <w:p w14:paraId="4FB38043" w14:textId="77777777" w:rsidR="0047685A" w:rsidRPr="0090051E" w:rsidRDefault="0047685A" w:rsidP="00D70042">
            <w:pPr>
              <w:rPr>
                <w:b w:val="0"/>
                <w:sz w:val="20"/>
                <w:szCs w:val="20"/>
              </w:rPr>
            </w:pPr>
            <w:r w:rsidRPr="0090051E">
              <w:rPr>
                <w:rFonts w:ascii="Calibri" w:hAnsi="Calibri"/>
                <w:b w:val="0"/>
                <w:bCs w:val="0"/>
                <w:color w:val="000000"/>
                <w:sz w:val="20"/>
                <w:szCs w:val="20"/>
              </w:rPr>
              <w:t>Adopted child</w:t>
            </w:r>
          </w:p>
        </w:tc>
        <w:tc>
          <w:tcPr>
            <w:tcW w:w="5930" w:type="dxa"/>
            <w:vAlign w:val="center"/>
          </w:tcPr>
          <w:p w14:paraId="344C7065" w14:textId="77777777" w:rsidR="0047685A" w:rsidRPr="0090051E" w:rsidRDefault="0047685A" w:rsidP="00D70042">
            <w:pPr>
              <w:cnfStyle w:val="000000000000" w:firstRow="0" w:lastRow="0" w:firstColumn="0" w:lastColumn="0" w:oddVBand="0" w:evenVBand="0" w:oddHBand="0" w:evenHBand="0" w:firstRowFirstColumn="0" w:firstRowLastColumn="0" w:lastRowFirstColumn="0" w:lastRowLastColumn="0"/>
              <w:rPr>
                <w:sz w:val="20"/>
                <w:szCs w:val="20"/>
              </w:rPr>
            </w:pPr>
            <w:r w:rsidRPr="0090051E">
              <w:rPr>
                <w:rFonts w:ascii="Calibri" w:hAnsi="Calibri"/>
                <w:bCs/>
                <w:color w:val="000000"/>
                <w:sz w:val="20"/>
                <w:szCs w:val="20"/>
              </w:rPr>
              <w:t>Adoption certificate</w:t>
            </w:r>
          </w:p>
        </w:tc>
      </w:tr>
      <w:tr w:rsidR="0047685A" w:rsidRPr="0090051E" w14:paraId="3429BB66" w14:textId="77777777" w:rsidTr="00A31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vAlign w:val="center"/>
          </w:tcPr>
          <w:p w14:paraId="26EC972C" w14:textId="77777777" w:rsidR="0047685A" w:rsidRPr="0090051E" w:rsidRDefault="0047685A" w:rsidP="00D70042">
            <w:pPr>
              <w:rPr>
                <w:b w:val="0"/>
                <w:sz w:val="20"/>
                <w:szCs w:val="20"/>
              </w:rPr>
            </w:pPr>
            <w:r w:rsidRPr="0090051E">
              <w:rPr>
                <w:rFonts w:ascii="Calibri" w:hAnsi="Calibri"/>
                <w:b w:val="0"/>
                <w:bCs w:val="0"/>
                <w:color w:val="000000"/>
                <w:sz w:val="20"/>
                <w:szCs w:val="20"/>
              </w:rPr>
              <w:t>Step</w:t>
            </w:r>
            <w:r w:rsidR="00056DB4" w:rsidRPr="0090051E">
              <w:rPr>
                <w:rFonts w:ascii="Calibri" w:hAnsi="Calibri"/>
                <w:b w:val="0"/>
                <w:bCs w:val="0"/>
                <w:color w:val="000000"/>
                <w:sz w:val="20"/>
                <w:szCs w:val="20"/>
              </w:rPr>
              <w:t>-</w:t>
            </w:r>
            <w:r w:rsidRPr="0090051E">
              <w:rPr>
                <w:rFonts w:ascii="Calibri" w:hAnsi="Calibri"/>
                <w:b w:val="0"/>
                <w:bCs w:val="0"/>
                <w:color w:val="000000"/>
                <w:sz w:val="20"/>
                <w:szCs w:val="20"/>
              </w:rPr>
              <w:t>child</w:t>
            </w:r>
          </w:p>
        </w:tc>
        <w:tc>
          <w:tcPr>
            <w:tcW w:w="5930" w:type="dxa"/>
            <w:vAlign w:val="center"/>
          </w:tcPr>
          <w:p w14:paraId="5D70318C" w14:textId="373583D7" w:rsidR="0047685A" w:rsidRPr="0090051E" w:rsidRDefault="0047685A" w:rsidP="00D70042">
            <w:pPr>
              <w:cnfStyle w:val="000000100000" w:firstRow="0" w:lastRow="0" w:firstColumn="0" w:lastColumn="0" w:oddVBand="0" w:evenVBand="0" w:oddHBand="1" w:evenHBand="0" w:firstRowFirstColumn="0" w:firstRowLastColumn="0" w:lastRowFirstColumn="0" w:lastRowLastColumn="0"/>
              <w:rPr>
                <w:sz w:val="20"/>
                <w:szCs w:val="20"/>
              </w:rPr>
            </w:pPr>
            <w:r w:rsidRPr="0090051E">
              <w:rPr>
                <w:rFonts w:ascii="Calibri" w:hAnsi="Calibri"/>
                <w:bCs/>
                <w:color w:val="000000"/>
                <w:sz w:val="20"/>
                <w:szCs w:val="20"/>
              </w:rPr>
              <w:t>Birth certificate</w:t>
            </w:r>
            <w:r w:rsidRPr="0090051E">
              <w:rPr>
                <w:rFonts w:ascii="Calibri" w:hAnsi="Calibri"/>
                <w:color w:val="000000"/>
                <w:sz w:val="20"/>
                <w:szCs w:val="20"/>
              </w:rPr>
              <w:t xml:space="preserve"> or adoption certificate showing child’</w:t>
            </w:r>
            <w:r w:rsidR="004A5DA5" w:rsidRPr="0090051E">
              <w:rPr>
                <w:rFonts w:ascii="Calibri" w:hAnsi="Calibri"/>
                <w:color w:val="000000"/>
                <w:sz w:val="20"/>
                <w:szCs w:val="20"/>
              </w:rPr>
              <w:t>s name</w:t>
            </w:r>
            <w:r w:rsidR="00A3121F" w:rsidRPr="0090051E">
              <w:rPr>
                <w:rFonts w:ascii="Calibri" w:hAnsi="Calibri"/>
                <w:color w:val="000000"/>
                <w:sz w:val="20"/>
                <w:szCs w:val="20"/>
              </w:rPr>
              <w:t xml:space="preserve"> and</w:t>
            </w:r>
            <w:r w:rsidR="004A5DA5" w:rsidRPr="0090051E">
              <w:rPr>
                <w:rFonts w:ascii="Calibri" w:hAnsi="Calibri"/>
                <w:color w:val="000000"/>
                <w:sz w:val="20"/>
                <w:szCs w:val="20"/>
              </w:rPr>
              <w:t xml:space="preserve"> birthdate, and </w:t>
            </w:r>
            <w:r w:rsidR="00B5448B" w:rsidRPr="0090051E">
              <w:rPr>
                <w:rFonts w:ascii="Calibri" w:hAnsi="Calibri"/>
                <w:color w:val="000000"/>
                <w:sz w:val="20"/>
                <w:szCs w:val="20"/>
              </w:rPr>
              <w:t xml:space="preserve">the </w:t>
            </w:r>
            <w:r w:rsidRPr="0090051E">
              <w:rPr>
                <w:rFonts w:ascii="Calibri" w:hAnsi="Calibri"/>
                <w:color w:val="000000"/>
                <w:sz w:val="20"/>
                <w:szCs w:val="20"/>
              </w:rPr>
              <w:t>spouse’s/</w:t>
            </w:r>
            <w:r w:rsidR="00513ED4" w:rsidRPr="0090051E">
              <w:rPr>
                <w:rFonts w:ascii="Calibri" w:hAnsi="Calibri"/>
                <w:color w:val="000000"/>
                <w:sz w:val="20"/>
                <w:szCs w:val="20"/>
              </w:rPr>
              <w:t>domestic partner’s/</w:t>
            </w:r>
            <w:r w:rsidRPr="0090051E">
              <w:rPr>
                <w:rFonts w:ascii="Calibri" w:hAnsi="Calibri"/>
                <w:color w:val="000000"/>
                <w:sz w:val="20"/>
                <w:szCs w:val="20"/>
              </w:rPr>
              <w:t xml:space="preserve">spousal-equivalent’s </w:t>
            </w:r>
            <w:r w:rsidR="00203EF8" w:rsidRPr="0090051E">
              <w:rPr>
                <w:rFonts w:ascii="Calibri" w:hAnsi="Calibri"/>
                <w:color w:val="000000"/>
                <w:sz w:val="20"/>
                <w:szCs w:val="20"/>
              </w:rPr>
              <w:t>name</w:t>
            </w:r>
          </w:p>
        </w:tc>
      </w:tr>
      <w:tr w:rsidR="0047685A" w:rsidRPr="0090051E" w14:paraId="7719B1A4" w14:textId="77777777" w:rsidTr="00A3121F">
        <w:tc>
          <w:tcPr>
            <w:cnfStyle w:val="001000000000" w:firstRow="0" w:lastRow="0" w:firstColumn="1" w:lastColumn="0" w:oddVBand="0" w:evenVBand="0" w:oddHBand="0" w:evenHBand="0" w:firstRowFirstColumn="0" w:firstRowLastColumn="0" w:lastRowFirstColumn="0" w:lastRowLastColumn="0"/>
            <w:tcW w:w="3420" w:type="dxa"/>
            <w:vAlign w:val="center"/>
          </w:tcPr>
          <w:p w14:paraId="40071557" w14:textId="3EB22D0D" w:rsidR="0047685A" w:rsidRPr="0090051E" w:rsidRDefault="0047685A" w:rsidP="00D70042">
            <w:pPr>
              <w:rPr>
                <w:b w:val="0"/>
                <w:sz w:val="20"/>
                <w:szCs w:val="20"/>
              </w:rPr>
            </w:pPr>
            <w:r w:rsidRPr="0090051E">
              <w:rPr>
                <w:rFonts w:ascii="Calibri" w:hAnsi="Calibri"/>
                <w:b w:val="0"/>
                <w:bCs w:val="0"/>
                <w:color w:val="000000"/>
                <w:sz w:val="20"/>
                <w:szCs w:val="20"/>
              </w:rPr>
              <w:t xml:space="preserve">Child for whom </w:t>
            </w:r>
            <w:r w:rsidR="00B5448B" w:rsidRPr="0090051E">
              <w:rPr>
                <w:rFonts w:ascii="Calibri" w:hAnsi="Calibri"/>
                <w:b w:val="0"/>
                <w:bCs w:val="0"/>
                <w:color w:val="000000"/>
                <w:sz w:val="20"/>
                <w:szCs w:val="20"/>
              </w:rPr>
              <w:t>the subscriber is</w:t>
            </w:r>
            <w:r w:rsidRPr="0090051E">
              <w:rPr>
                <w:rFonts w:ascii="Calibri" w:hAnsi="Calibri"/>
                <w:b w:val="0"/>
                <w:bCs w:val="0"/>
                <w:color w:val="000000"/>
                <w:sz w:val="20"/>
                <w:szCs w:val="20"/>
              </w:rPr>
              <w:t xml:space="preserve"> the legal guardian</w:t>
            </w:r>
          </w:p>
        </w:tc>
        <w:tc>
          <w:tcPr>
            <w:tcW w:w="5930" w:type="dxa"/>
            <w:vAlign w:val="center"/>
          </w:tcPr>
          <w:p w14:paraId="6ACA89E9" w14:textId="77777777" w:rsidR="0047685A" w:rsidRPr="0090051E" w:rsidRDefault="0047685A" w:rsidP="00D70042">
            <w:pPr>
              <w:cnfStyle w:val="000000000000" w:firstRow="0" w:lastRow="0" w:firstColumn="0" w:lastColumn="0" w:oddVBand="0" w:evenVBand="0" w:oddHBand="0" w:evenHBand="0" w:firstRowFirstColumn="0" w:firstRowLastColumn="0" w:lastRowFirstColumn="0" w:lastRowLastColumn="0"/>
              <w:rPr>
                <w:sz w:val="20"/>
                <w:szCs w:val="20"/>
              </w:rPr>
            </w:pPr>
            <w:r w:rsidRPr="0090051E">
              <w:rPr>
                <w:rFonts w:ascii="Calibri" w:hAnsi="Calibri"/>
                <w:bCs/>
                <w:color w:val="000000"/>
                <w:sz w:val="20"/>
                <w:szCs w:val="20"/>
              </w:rPr>
              <w:t>Proof of legal guardianship</w:t>
            </w:r>
            <w:r w:rsidRPr="0090051E">
              <w:rPr>
                <w:rFonts w:ascii="Calibri" w:hAnsi="Calibri"/>
                <w:color w:val="000000"/>
                <w:sz w:val="20"/>
                <w:szCs w:val="20"/>
              </w:rPr>
              <w:t xml:space="preserve"> </w:t>
            </w:r>
            <w:r w:rsidRPr="0090051E">
              <w:rPr>
                <w:rFonts w:ascii="Calibri" w:hAnsi="Calibri"/>
                <w:iCs/>
                <w:color w:val="000000"/>
                <w:sz w:val="20"/>
                <w:szCs w:val="20"/>
                <w:u w:val="single"/>
              </w:rPr>
              <w:t>and</w:t>
            </w:r>
            <w:r w:rsidRPr="0090051E">
              <w:rPr>
                <w:rFonts w:ascii="Calibri" w:hAnsi="Calibri"/>
                <w:color w:val="000000"/>
                <w:sz w:val="20"/>
                <w:szCs w:val="20"/>
              </w:rPr>
              <w:t xml:space="preserve"> </w:t>
            </w:r>
            <w:r w:rsidRPr="0090051E">
              <w:rPr>
                <w:rFonts w:ascii="Calibri" w:hAnsi="Calibri"/>
                <w:bCs/>
                <w:color w:val="000000"/>
                <w:sz w:val="20"/>
                <w:szCs w:val="20"/>
              </w:rPr>
              <w:t>birth certificate</w:t>
            </w:r>
          </w:p>
        </w:tc>
      </w:tr>
      <w:tr w:rsidR="00056DB4" w:rsidRPr="0090051E" w14:paraId="145B0178" w14:textId="77777777" w:rsidTr="00A31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vAlign w:val="center"/>
          </w:tcPr>
          <w:p w14:paraId="2FC0E67A" w14:textId="77777777" w:rsidR="00056DB4" w:rsidRPr="0090051E" w:rsidRDefault="00056DB4" w:rsidP="00D70042">
            <w:pPr>
              <w:rPr>
                <w:rFonts w:ascii="Calibri" w:hAnsi="Calibri"/>
                <w:b w:val="0"/>
                <w:bCs w:val="0"/>
                <w:color w:val="000000"/>
                <w:sz w:val="20"/>
                <w:szCs w:val="20"/>
              </w:rPr>
            </w:pPr>
            <w:r w:rsidRPr="0090051E">
              <w:rPr>
                <w:rFonts w:ascii="Calibri" w:hAnsi="Calibri"/>
                <w:b w:val="0"/>
                <w:bCs w:val="0"/>
                <w:color w:val="000000"/>
                <w:sz w:val="20"/>
                <w:szCs w:val="20"/>
              </w:rPr>
              <w:t>Child recognized under a qualified medical child support order</w:t>
            </w:r>
          </w:p>
        </w:tc>
        <w:tc>
          <w:tcPr>
            <w:tcW w:w="5930" w:type="dxa"/>
            <w:vAlign w:val="center"/>
          </w:tcPr>
          <w:p w14:paraId="1656A094" w14:textId="77777777" w:rsidR="00056DB4" w:rsidRPr="0090051E" w:rsidRDefault="004A5DA5" w:rsidP="00D70042">
            <w:pPr>
              <w:cnfStyle w:val="000000100000" w:firstRow="0" w:lastRow="0" w:firstColumn="0" w:lastColumn="0" w:oddVBand="0" w:evenVBand="0" w:oddHBand="1" w:evenHBand="0" w:firstRowFirstColumn="0" w:firstRowLastColumn="0" w:lastRowFirstColumn="0" w:lastRowLastColumn="0"/>
              <w:rPr>
                <w:rFonts w:ascii="Calibri" w:hAnsi="Calibri"/>
                <w:bCs/>
                <w:color w:val="000000"/>
                <w:sz w:val="20"/>
                <w:szCs w:val="20"/>
              </w:rPr>
            </w:pPr>
            <w:r w:rsidRPr="0090051E">
              <w:rPr>
                <w:rFonts w:ascii="Calibri" w:hAnsi="Calibri"/>
                <w:bCs/>
                <w:color w:val="000000"/>
                <w:sz w:val="20"/>
                <w:szCs w:val="20"/>
              </w:rPr>
              <w:t>Qualified medical child support order</w:t>
            </w:r>
            <w:r w:rsidRPr="0090051E">
              <w:rPr>
                <w:rFonts w:ascii="Calibri" w:hAnsi="Calibri"/>
                <w:color w:val="000000"/>
                <w:sz w:val="20"/>
                <w:szCs w:val="20"/>
              </w:rPr>
              <w:t xml:space="preserve"> </w:t>
            </w:r>
            <w:r w:rsidRPr="0090051E">
              <w:rPr>
                <w:rFonts w:ascii="Calibri" w:hAnsi="Calibri"/>
                <w:iCs/>
                <w:color w:val="000000"/>
                <w:sz w:val="20"/>
                <w:szCs w:val="20"/>
                <w:u w:val="single"/>
              </w:rPr>
              <w:t>and</w:t>
            </w:r>
            <w:r w:rsidRPr="0090051E">
              <w:rPr>
                <w:rFonts w:ascii="Calibri" w:hAnsi="Calibri"/>
                <w:bCs/>
                <w:color w:val="000000"/>
                <w:sz w:val="20"/>
                <w:szCs w:val="20"/>
              </w:rPr>
              <w:t xml:space="preserve"> birth certificate</w:t>
            </w:r>
          </w:p>
        </w:tc>
      </w:tr>
      <w:tr w:rsidR="0047685A" w:rsidRPr="0090051E" w14:paraId="4CEBA26C" w14:textId="77777777" w:rsidTr="00A3121F">
        <w:tc>
          <w:tcPr>
            <w:cnfStyle w:val="001000000000" w:firstRow="0" w:lastRow="0" w:firstColumn="1" w:lastColumn="0" w:oddVBand="0" w:evenVBand="0" w:oddHBand="0" w:evenHBand="0" w:firstRowFirstColumn="0" w:firstRowLastColumn="0" w:lastRowFirstColumn="0" w:lastRowLastColumn="0"/>
            <w:tcW w:w="3420" w:type="dxa"/>
            <w:vAlign w:val="center"/>
          </w:tcPr>
          <w:p w14:paraId="025418D0" w14:textId="77777777" w:rsidR="0047685A" w:rsidRPr="0090051E" w:rsidRDefault="0047685A" w:rsidP="00D70042">
            <w:pPr>
              <w:rPr>
                <w:b w:val="0"/>
                <w:sz w:val="20"/>
                <w:szCs w:val="20"/>
              </w:rPr>
            </w:pPr>
            <w:r w:rsidRPr="0090051E">
              <w:rPr>
                <w:rFonts w:ascii="Calibri" w:hAnsi="Calibri"/>
                <w:b w:val="0"/>
                <w:bCs w:val="0"/>
                <w:color w:val="000000"/>
                <w:sz w:val="20"/>
                <w:szCs w:val="20"/>
              </w:rPr>
              <w:t>Child of any age with a physical or mental disability</w:t>
            </w:r>
            <w:r w:rsidRPr="0090051E">
              <w:rPr>
                <w:rFonts w:ascii="Calibri" w:hAnsi="Calibri"/>
                <w:b w:val="0"/>
                <w:color w:val="000000"/>
                <w:sz w:val="20"/>
                <w:szCs w:val="20"/>
              </w:rPr>
              <w:t xml:space="preserve"> that prevents the child from earning his or her own living</w:t>
            </w:r>
          </w:p>
        </w:tc>
        <w:tc>
          <w:tcPr>
            <w:tcW w:w="5930" w:type="dxa"/>
            <w:vAlign w:val="center"/>
          </w:tcPr>
          <w:p w14:paraId="6F488A39" w14:textId="77777777" w:rsidR="0047685A" w:rsidRPr="0090051E" w:rsidRDefault="0047685A" w:rsidP="00D70042">
            <w:pPr>
              <w:cnfStyle w:val="000000000000" w:firstRow="0" w:lastRow="0" w:firstColumn="0" w:lastColumn="0" w:oddVBand="0" w:evenVBand="0" w:oddHBand="0" w:evenHBand="0" w:firstRowFirstColumn="0" w:firstRowLastColumn="0" w:lastRowFirstColumn="0" w:lastRowLastColumn="0"/>
              <w:rPr>
                <w:sz w:val="20"/>
                <w:szCs w:val="20"/>
              </w:rPr>
            </w:pPr>
            <w:r w:rsidRPr="0090051E">
              <w:rPr>
                <w:rFonts w:ascii="Calibri" w:hAnsi="Calibri"/>
                <w:bCs/>
                <w:color w:val="000000"/>
                <w:sz w:val="20"/>
                <w:szCs w:val="20"/>
              </w:rPr>
              <w:t>Appropriate documentation as listed above</w:t>
            </w:r>
            <w:r w:rsidRPr="0090051E">
              <w:rPr>
                <w:rFonts w:ascii="Calibri" w:hAnsi="Calibri"/>
                <w:color w:val="000000"/>
                <w:sz w:val="20"/>
                <w:szCs w:val="20"/>
              </w:rPr>
              <w:t xml:space="preserve"> for </w:t>
            </w:r>
            <w:r w:rsidR="004A5DA5" w:rsidRPr="0090051E">
              <w:rPr>
                <w:rFonts w:ascii="Calibri" w:hAnsi="Calibri"/>
                <w:color w:val="000000"/>
                <w:sz w:val="20"/>
                <w:szCs w:val="20"/>
              </w:rPr>
              <w:t xml:space="preserve">dependent child </w:t>
            </w:r>
            <w:r w:rsidRPr="0090051E">
              <w:rPr>
                <w:rFonts w:ascii="Calibri" w:hAnsi="Calibri"/>
                <w:iCs/>
                <w:color w:val="000000"/>
                <w:sz w:val="20"/>
                <w:szCs w:val="20"/>
                <w:u w:val="single"/>
              </w:rPr>
              <w:t>and</w:t>
            </w:r>
            <w:r w:rsidRPr="0090051E">
              <w:rPr>
                <w:rFonts w:ascii="Calibri" w:hAnsi="Calibri"/>
                <w:color w:val="000000"/>
                <w:sz w:val="20"/>
                <w:szCs w:val="20"/>
              </w:rPr>
              <w:t xml:space="preserve"> </w:t>
            </w:r>
            <w:r w:rsidRPr="0090051E">
              <w:rPr>
                <w:rFonts w:ascii="Calibri" w:hAnsi="Calibri"/>
                <w:bCs/>
                <w:color w:val="000000"/>
                <w:sz w:val="20"/>
                <w:szCs w:val="20"/>
              </w:rPr>
              <w:t>certification of disability</w:t>
            </w:r>
          </w:p>
        </w:tc>
      </w:tr>
      <w:tr w:rsidR="0047685A" w:rsidRPr="0090051E" w14:paraId="569DC432" w14:textId="77777777" w:rsidTr="00A31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vAlign w:val="center"/>
          </w:tcPr>
          <w:p w14:paraId="06C2E16E" w14:textId="77777777" w:rsidR="0047685A" w:rsidRPr="0090051E" w:rsidRDefault="0047685A" w:rsidP="00D70042">
            <w:pPr>
              <w:rPr>
                <w:b w:val="0"/>
                <w:sz w:val="20"/>
                <w:szCs w:val="20"/>
              </w:rPr>
            </w:pPr>
            <w:r w:rsidRPr="0090051E">
              <w:rPr>
                <w:rFonts w:ascii="Calibri" w:hAnsi="Calibri"/>
                <w:b w:val="0"/>
                <w:bCs w:val="0"/>
                <w:color w:val="000000"/>
                <w:sz w:val="20"/>
                <w:szCs w:val="20"/>
              </w:rPr>
              <w:t>Child of an enrolled dependent child</w:t>
            </w:r>
          </w:p>
        </w:tc>
        <w:tc>
          <w:tcPr>
            <w:tcW w:w="5930" w:type="dxa"/>
            <w:vAlign w:val="center"/>
          </w:tcPr>
          <w:p w14:paraId="7D4EE46A" w14:textId="77777777" w:rsidR="0047685A" w:rsidRPr="0090051E" w:rsidRDefault="0047685A" w:rsidP="00D70042">
            <w:pPr>
              <w:cnfStyle w:val="000000100000" w:firstRow="0" w:lastRow="0" w:firstColumn="0" w:lastColumn="0" w:oddVBand="0" w:evenVBand="0" w:oddHBand="1" w:evenHBand="0" w:firstRowFirstColumn="0" w:firstRowLastColumn="0" w:lastRowFirstColumn="0" w:lastRowLastColumn="0"/>
              <w:rPr>
                <w:sz w:val="20"/>
                <w:szCs w:val="20"/>
              </w:rPr>
            </w:pPr>
            <w:r w:rsidRPr="0090051E">
              <w:rPr>
                <w:rFonts w:ascii="Calibri" w:hAnsi="Calibri"/>
                <w:bCs/>
                <w:color w:val="000000"/>
                <w:sz w:val="20"/>
                <w:szCs w:val="20"/>
              </w:rPr>
              <w:t>Appropriate documentation as listed above</w:t>
            </w:r>
            <w:r w:rsidRPr="0090051E">
              <w:rPr>
                <w:rFonts w:ascii="Calibri" w:hAnsi="Calibri"/>
                <w:color w:val="000000"/>
                <w:sz w:val="20"/>
                <w:szCs w:val="20"/>
              </w:rPr>
              <w:t xml:space="preserve"> for enrolled </w:t>
            </w:r>
            <w:r w:rsidR="004A5DA5" w:rsidRPr="0090051E">
              <w:rPr>
                <w:rFonts w:ascii="Calibri" w:hAnsi="Calibri"/>
                <w:color w:val="000000"/>
                <w:sz w:val="20"/>
                <w:szCs w:val="20"/>
              </w:rPr>
              <w:t>dependent child</w:t>
            </w:r>
            <w:r w:rsidRPr="0090051E">
              <w:rPr>
                <w:rFonts w:ascii="Calibri" w:hAnsi="Calibri"/>
                <w:color w:val="000000"/>
                <w:sz w:val="20"/>
                <w:szCs w:val="20"/>
              </w:rPr>
              <w:t xml:space="preserve"> </w:t>
            </w:r>
            <w:r w:rsidRPr="0090051E">
              <w:rPr>
                <w:rFonts w:ascii="Calibri" w:hAnsi="Calibri"/>
                <w:iCs/>
                <w:color w:val="000000"/>
                <w:sz w:val="20"/>
                <w:szCs w:val="20"/>
                <w:u w:val="single"/>
              </w:rPr>
              <w:t>and</w:t>
            </w:r>
            <w:r w:rsidRPr="0090051E">
              <w:rPr>
                <w:rFonts w:ascii="Calibri" w:hAnsi="Calibri"/>
                <w:color w:val="000000"/>
                <w:sz w:val="20"/>
                <w:szCs w:val="20"/>
              </w:rPr>
              <w:t xml:space="preserve"> </w:t>
            </w:r>
            <w:r w:rsidRPr="0090051E">
              <w:rPr>
                <w:rFonts w:ascii="Calibri" w:hAnsi="Calibri"/>
                <w:bCs/>
                <w:color w:val="000000"/>
                <w:sz w:val="20"/>
                <w:szCs w:val="20"/>
              </w:rPr>
              <w:t>birth certificate</w:t>
            </w:r>
            <w:r w:rsidRPr="0090051E">
              <w:rPr>
                <w:rFonts w:ascii="Calibri" w:hAnsi="Calibri"/>
                <w:color w:val="000000"/>
                <w:sz w:val="20"/>
                <w:szCs w:val="20"/>
              </w:rPr>
              <w:t xml:space="preserve"> showing enrolled dependent child as parent</w:t>
            </w:r>
          </w:p>
        </w:tc>
      </w:tr>
      <w:tr w:rsidR="0047685A" w:rsidRPr="0090051E" w14:paraId="709E5962" w14:textId="77777777" w:rsidTr="00A3121F">
        <w:tc>
          <w:tcPr>
            <w:cnfStyle w:val="001000000000" w:firstRow="0" w:lastRow="0" w:firstColumn="1" w:lastColumn="0" w:oddVBand="0" w:evenVBand="0" w:oddHBand="0" w:evenHBand="0" w:firstRowFirstColumn="0" w:firstRowLastColumn="0" w:lastRowFirstColumn="0" w:lastRowLastColumn="0"/>
            <w:tcW w:w="3420" w:type="dxa"/>
            <w:vAlign w:val="center"/>
          </w:tcPr>
          <w:p w14:paraId="7D7C9E95" w14:textId="77777777" w:rsidR="0047685A" w:rsidRPr="0090051E" w:rsidRDefault="004A5DA5" w:rsidP="00D70042">
            <w:pPr>
              <w:rPr>
                <w:b w:val="0"/>
                <w:sz w:val="20"/>
                <w:szCs w:val="20"/>
              </w:rPr>
            </w:pPr>
            <w:r w:rsidRPr="0090051E">
              <w:rPr>
                <w:rFonts w:ascii="Calibri" w:hAnsi="Calibri"/>
                <w:b w:val="0"/>
                <w:bCs w:val="0"/>
                <w:color w:val="000000"/>
                <w:sz w:val="20"/>
                <w:szCs w:val="20"/>
              </w:rPr>
              <w:t xml:space="preserve">Divorced </w:t>
            </w:r>
            <w:r w:rsidR="00E94A9E" w:rsidRPr="0090051E">
              <w:rPr>
                <w:rFonts w:ascii="Calibri" w:hAnsi="Calibri"/>
                <w:b w:val="0"/>
                <w:bCs w:val="0"/>
                <w:color w:val="000000"/>
                <w:sz w:val="20"/>
                <w:szCs w:val="20"/>
              </w:rPr>
              <w:t xml:space="preserve">or legally separated </w:t>
            </w:r>
            <w:r w:rsidRPr="0090051E">
              <w:rPr>
                <w:rFonts w:ascii="Calibri" w:hAnsi="Calibri"/>
                <w:b w:val="0"/>
                <w:bCs w:val="0"/>
                <w:color w:val="000000"/>
                <w:sz w:val="20"/>
                <w:szCs w:val="20"/>
              </w:rPr>
              <w:t>spouse</w:t>
            </w:r>
          </w:p>
        </w:tc>
        <w:tc>
          <w:tcPr>
            <w:tcW w:w="5930" w:type="dxa"/>
            <w:vAlign w:val="center"/>
          </w:tcPr>
          <w:p w14:paraId="30DCB3F7" w14:textId="77777777" w:rsidR="00E94A9E" w:rsidRPr="0090051E" w:rsidRDefault="00E94A9E" w:rsidP="00D70042">
            <w:pPr>
              <w:cnfStyle w:val="000000000000" w:firstRow="0" w:lastRow="0" w:firstColumn="0" w:lastColumn="0" w:oddVBand="0" w:evenVBand="0" w:oddHBand="0" w:evenHBand="0" w:firstRowFirstColumn="0" w:firstRowLastColumn="0" w:lastRowFirstColumn="0" w:lastRowLastColumn="0"/>
              <w:rPr>
                <w:rFonts w:ascii="Calibri" w:hAnsi="Calibri"/>
                <w:bCs/>
                <w:color w:val="000000"/>
                <w:sz w:val="20"/>
                <w:szCs w:val="20"/>
              </w:rPr>
            </w:pPr>
            <w:r w:rsidRPr="0090051E">
              <w:rPr>
                <w:rFonts w:ascii="Calibri" w:hAnsi="Calibri"/>
                <w:bCs/>
                <w:color w:val="000000"/>
                <w:sz w:val="20"/>
                <w:szCs w:val="20"/>
              </w:rPr>
              <w:t>Copy of final legal separation agreement or divorce decree, including:</w:t>
            </w:r>
          </w:p>
          <w:p w14:paraId="1DF0CBB2" w14:textId="77777777" w:rsidR="00E94A9E" w:rsidRPr="0090051E" w:rsidRDefault="00E94A9E">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Calibri" w:hAnsi="Calibri"/>
                <w:bCs/>
                <w:color w:val="000000"/>
                <w:sz w:val="20"/>
                <w:szCs w:val="20"/>
              </w:rPr>
            </w:pPr>
            <w:r w:rsidRPr="0090051E">
              <w:rPr>
                <w:rFonts w:ascii="Calibri" w:hAnsi="Calibri"/>
                <w:bCs/>
                <w:color w:val="000000"/>
                <w:sz w:val="20"/>
                <w:szCs w:val="20"/>
              </w:rPr>
              <w:t>Cover page listing the parties involved;</w:t>
            </w:r>
          </w:p>
          <w:p w14:paraId="39C331A6" w14:textId="77777777" w:rsidR="00E94A9E" w:rsidRPr="0090051E" w:rsidRDefault="00E94A9E">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Calibri" w:hAnsi="Calibri"/>
                <w:bCs/>
                <w:color w:val="000000"/>
                <w:sz w:val="20"/>
                <w:szCs w:val="20"/>
              </w:rPr>
            </w:pPr>
            <w:r w:rsidRPr="0090051E">
              <w:rPr>
                <w:rFonts w:ascii="Calibri" w:hAnsi="Calibri"/>
                <w:bCs/>
                <w:color w:val="000000"/>
                <w:sz w:val="20"/>
                <w:szCs w:val="20"/>
              </w:rPr>
              <w:t>Page that indicates the date the divorce or legal separation became final</w:t>
            </w:r>
          </w:p>
          <w:p w14:paraId="105479CF" w14:textId="77777777" w:rsidR="00E94A9E" w:rsidRPr="0090051E" w:rsidRDefault="00E94A9E">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Calibri" w:hAnsi="Calibri"/>
                <w:bCs/>
                <w:color w:val="000000"/>
                <w:sz w:val="20"/>
                <w:szCs w:val="20"/>
              </w:rPr>
            </w:pPr>
            <w:r w:rsidRPr="0090051E">
              <w:rPr>
                <w:rFonts w:ascii="Calibri" w:hAnsi="Calibri"/>
                <w:bCs/>
                <w:color w:val="000000"/>
                <w:sz w:val="20"/>
                <w:szCs w:val="20"/>
              </w:rPr>
              <w:t>Page(s) that refer to health insurance; and</w:t>
            </w:r>
          </w:p>
          <w:p w14:paraId="13D1BF23" w14:textId="77777777" w:rsidR="004A5DA5" w:rsidRPr="0090051E" w:rsidRDefault="00E94A9E">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Calibri" w:hAnsi="Calibri"/>
                <w:bCs/>
                <w:color w:val="000000"/>
                <w:sz w:val="20"/>
                <w:szCs w:val="20"/>
              </w:rPr>
            </w:pPr>
            <w:r w:rsidRPr="0090051E">
              <w:rPr>
                <w:rFonts w:ascii="Calibri" w:hAnsi="Calibri"/>
                <w:bCs/>
                <w:color w:val="000000"/>
                <w:sz w:val="20"/>
                <w:szCs w:val="20"/>
              </w:rPr>
              <w:t>Signature page</w:t>
            </w:r>
          </w:p>
        </w:tc>
      </w:tr>
    </w:tbl>
    <w:p w14:paraId="6C3A8325" w14:textId="77777777" w:rsidR="005C706E" w:rsidRPr="0090051E" w:rsidRDefault="005C706E" w:rsidP="00D70042"/>
    <w:p w14:paraId="1BC6129D" w14:textId="77777777" w:rsidR="00D4409F" w:rsidRPr="0090051E" w:rsidRDefault="00D4409F" w:rsidP="00D70042">
      <w:pPr>
        <w:sectPr w:rsidR="00D4409F" w:rsidRPr="0090051E" w:rsidSect="00BA68BD">
          <w:pgSz w:w="12240" w:h="15840"/>
          <w:pgMar w:top="1440" w:right="1440" w:bottom="1440" w:left="1440" w:header="720" w:footer="720" w:gutter="0"/>
          <w:cols w:space="720"/>
          <w:docGrid w:linePitch="360"/>
        </w:sectPr>
      </w:pPr>
    </w:p>
    <w:p w14:paraId="18C4C15E" w14:textId="046503A6" w:rsidR="0055322C" w:rsidRPr="0090051E" w:rsidRDefault="00E64382" w:rsidP="00D70042">
      <w:pPr>
        <w:pStyle w:val="Heading1"/>
        <w:spacing w:before="0" w:after="240"/>
        <w:rPr>
          <w:b/>
          <w:color w:val="C00000"/>
        </w:rPr>
      </w:pPr>
      <w:bookmarkStart w:id="54" w:name="_5.0_Enrollment_and"/>
      <w:bookmarkStart w:id="55" w:name="_Toc232415506"/>
      <w:bookmarkEnd w:id="54"/>
      <w:r w:rsidRPr="0090051E">
        <w:rPr>
          <w:b/>
          <w:color w:val="C00000"/>
        </w:rPr>
        <w:lastRenderedPageBreak/>
        <w:t>5</w:t>
      </w:r>
      <w:r w:rsidR="0055322C" w:rsidRPr="0090051E">
        <w:rPr>
          <w:b/>
          <w:color w:val="C00000"/>
        </w:rPr>
        <w:t xml:space="preserve">.0 </w:t>
      </w:r>
      <w:r w:rsidR="00FF051E" w:rsidRPr="0090051E">
        <w:rPr>
          <w:b/>
          <w:color w:val="C00000"/>
        </w:rPr>
        <w:t xml:space="preserve">Benefit Year, </w:t>
      </w:r>
      <w:r w:rsidR="00C72350" w:rsidRPr="0090051E">
        <w:rPr>
          <w:b/>
          <w:color w:val="C00000"/>
        </w:rPr>
        <w:t xml:space="preserve">Coverage Periods, </w:t>
      </w:r>
      <w:r w:rsidR="0055322C" w:rsidRPr="0090051E">
        <w:rPr>
          <w:b/>
          <w:color w:val="C00000"/>
        </w:rPr>
        <w:t>Enrollment</w:t>
      </w:r>
      <w:r w:rsidR="00F20B55" w:rsidRPr="0090051E">
        <w:rPr>
          <w:b/>
          <w:color w:val="C00000"/>
        </w:rPr>
        <w:t xml:space="preserve"> and Renewals</w:t>
      </w:r>
      <w:bookmarkEnd w:id="55"/>
    </w:p>
    <w:p w14:paraId="4F3AECB1" w14:textId="4DB99CE2" w:rsidR="0017365B" w:rsidRPr="0090051E" w:rsidRDefault="00E64382" w:rsidP="00D70042">
      <w:pPr>
        <w:pStyle w:val="Heading2"/>
        <w:spacing w:before="0" w:after="120"/>
        <w:rPr>
          <w:i/>
          <w:color w:val="auto"/>
        </w:rPr>
      </w:pPr>
      <w:bookmarkStart w:id="56" w:name="_5.1_Coverage_Periods"/>
      <w:bookmarkStart w:id="57" w:name="_5.1_Benefit_Year"/>
      <w:bookmarkStart w:id="58" w:name="_Toc232415507"/>
      <w:bookmarkEnd w:id="56"/>
      <w:bookmarkEnd w:id="57"/>
      <w:r w:rsidRPr="0090051E">
        <w:rPr>
          <w:i/>
          <w:color w:val="auto"/>
        </w:rPr>
        <w:t>5</w:t>
      </w:r>
      <w:r w:rsidR="0017365B" w:rsidRPr="0090051E">
        <w:rPr>
          <w:i/>
          <w:color w:val="auto"/>
        </w:rPr>
        <w:t xml:space="preserve">.1 </w:t>
      </w:r>
      <w:r w:rsidR="00FF051E" w:rsidRPr="0090051E">
        <w:rPr>
          <w:i/>
          <w:color w:val="auto"/>
        </w:rPr>
        <w:t xml:space="preserve">Benefit Year and Health Plan </w:t>
      </w:r>
      <w:r w:rsidR="00C72350" w:rsidRPr="0090051E">
        <w:rPr>
          <w:i/>
          <w:color w:val="auto"/>
        </w:rPr>
        <w:t>Coverage Periods</w:t>
      </w:r>
      <w:bookmarkEnd w:id="58"/>
    </w:p>
    <w:p w14:paraId="2C60FC0D" w14:textId="064F4F49" w:rsidR="00FF051E" w:rsidRPr="0090051E" w:rsidRDefault="00C01C3A" w:rsidP="00D70042">
      <w:r w:rsidRPr="0090051E">
        <w:t xml:space="preserve">The benefit year for the </w:t>
      </w:r>
      <w:r w:rsidR="00E5735C" w:rsidRPr="0090051E">
        <w:t xml:space="preserve">MIT Student Health Insurance Plan </w:t>
      </w:r>
      <w:r w:rsidRPr="0090051E">
        <w:t>runs from September 1 through August 31.</w:t>
      </w:r>
    </w:p>
    <w:p w14:paraId="2999E8A3" w14:textId="1FB23E7D" w:rsidR="00C01C3A" w:rsidRPr="0090051E" w:rsidRDefault="00C01C3A" w:rsidP="00D70042">
      <w:r w:rsidRPr="0090051E">
        <w:t>The benefit year is divided into two health plan coverage periods:</w:t>
      </w:r>
    </w:p>
    <w:p w14:paraId="6BC7D00B" w14:textId="77777777" w:rsidR="00C01C3A" w:rsidRPr="0090051E" w:rsidRDefault="00C01C3A">
      <w:pPr>
        <w:pStyle w:val="ListParagraph"/>
        <w:numPr>
          <w:ilvl w:val="0"/>
          <w:numId w:val="15"/>
        </w:numPr>
      </w:pPr>
      <w:r w:rsidRPr="0090051E">
        <w:t>Fall Coverage Period: September 1 through January 31; and</w:t>
      </w:r>
    </w:p>
    <w:p w14:paraId="7F3041E3" w14:textId="21589232" w:rsidR="00C01C3A" w:rsidRPr="0090051E" w:rsidRDefault="00C01C3A">
      <w:pPr>
        <w:pStyle w:val="ListParagraph"/>
        <w:numPr>
          <w:ilvl w:val="0"/>
          <w:numId w:val="15"/>
        </w:numPr>
      </w:pPr>
      <w:r w:rsidRPr="0090051E">
        <w:t>Spring</w:t>
      </w:r>
      <w:r w:rsidR="00A6656E" w:rsidRPr="0090051E">
        <w:t>/Summer</w:t>
      </w:r>
      <w:r w:rsidRPr="0090051E">
        <w:t xml:space="preserve"> Coverage Period: February 1 through August 31.</w:t>
      </w:r>
    </w:p>
    <w:p w14:paraId="1314C33E" w14:textId="77777777" w:rsidR="00C72350" w:rsidRPr="0090051E" w:rsidRDefault="00C72350" w:rsidP="00D70042"/>
    <w:p w14:paraId="4761363D" w14:textId="5BB9B78D" w:rsidR="00C72350" w:rsidRPr="0090051E" w:rsidRDefault="00E64382" w:rsidP="00D70042">
      <w:pPr>
        <w:pStyle w:val="Heading2"/>
        <w:spacing w:before="0" w:after="120"/>
        <w:rPr>
          <w:i/>
          <w:color w:val="auto"/>
        </w:rPr>
      </w:pPr>
      <w:bookmarkStart w:id="59" w:name="_5.2_Initial_Enrollment"/>
      <w:bookmarkStart w:id="60" w:name="_Toc232415508"/>
      <w:bookmarkEnd w:id="59"/>
      <w:r w:rsidRPr="0090051E">
        <w:rPr>
          <w:i/>
          <w:color w:val="auto"/>
        </w:rPr>
        <w:t>5</w:t>
      </w:r>
      <w:r w:rsidR="00C72350" w:rsidRPr="0090051E">
        <w:rPr>
          <w:i/>
          <w:color w:val="auto"/>
        </w:rPr>
        <w:t>.2 Initial Enrollment – Students</w:t>
      </w:r>
      <w:bookmarkEnd w:id="60"/>
    </w:p>
    <w:p w14:paraId="776AAF07" w14:textId="6AD38334" w:rsidR="00C72350" w:rsidRPr="0090051E" w:rsidRDefault="00C72350" w:rsidP="00D70042">
      <w:r w:rsidRPr="0090051E">
        <w:t>For</w:t>
      </w:r>
      <w:r w:rsidR="006003C1" w:rsidRPr="0090051E">
        <w:t xml:space="preserve"> enrolling</w:t>
      </w:r>
      <w:r w:rsidRPr="0090051E">
        <w:t xml:space="preserve"> students</w:t>
      </w:r>
      <w:r w:rsidR="006003C1" w:rsidRPr="0090051E">
        <w:t xml:space="preserve"> </w:t>
      </w:r>
      <w:r w:rsidR="0068476C" w:rsidRPr="0090051E">
        <w:t>who become eligible for coverage</w:t>
      </w:r>
      <w:r w:rsidRPr="0090051E">
        <w:t xml:space="preserve"> </w:t>
      </w:r>
      <w:r w:rsidR="0068476C" w:rsidRPr="0090051E">
        <w:t>during</w:t>
      </w:r>
      <w:r w:rsidRPr="0090051E">
        <w:t xml:space="preserve"> the fall academic term, the initial date of coverage</w:t>
      </w:r>
      <w:r w:rsidR="006003C1" w:rsidRPr="0090051E">
        <w:t xml:space="preserve"> in the MIT Student Health Insurance Plan</w:t>
      </w:r>
      <w:r w:rsidRPr="0090051E">
        <w:t xml:space="preserve"> will be September 1. For students </w:t>
      </w:r>
      <w:r w:rsidR="0068476C" w:rsidRPr="0090051E">
        <w:t xml:space="preserve">who become eligible for coverage during </w:t>
      </w:r>
      <w:r w:rsidRPr="0090051E">
        <w:t>the spring academic term, the initial date of coverage will be February 1.</w:t>
      </w:r>
      <w:r w:rsidR="00822CFA" w:rsidRPr="0090051E">
        <w:t xml:space="preserve"> </w:t>
      </w:r>
      <w:r w:rsidR="00CA143A" w:rsidRPr="0090051E">
        <w:t xml:space="preserve">For </w:t>
      </w:r>
      <w:r w:rsidR="0068476C" w:rsidRPr="0090051E">
        <w:t xml:space="preserve">students who become eligible for coverage during </w:t>
      </w:r>
      <w:r w:rsidR="00CA143A" w:rsidRPr="0090051E">
        <w:t>starting in the summer academic term, the initial date of coverage will be June 1.</w:t>
      </w:r>
      <w:r w:rsidR="0068476C" w:rsidRPr="0090051E">
        <w:t xml:space="preserve"> Dependent enrollment occur</w:t>
      </w:r>
      <w:r w:rsidR="00D762F0" w:rsidRPr="0090051E">
        <w:t xml:space="preserve">s </w:t>
      </w:r>
      <w:r w:rsidR="0068476C" w:rsidRPr="0090051E">
        <w:t xml:space="preserve">concurrent with the enrolment date of the student, with limited exceptions, subject to qualifying events rules defined in </w:t>
      </w:r>
      <w:hyperlink w:anchor="_7.2_Qualifying_events" w:history="1">
        <w:r w:rsidR="0068476C" w:rsidRPr="0090051E">
          <w:rPr>
            <w:rStyle w:val="Hyperlink"/>
          </w:rPr>
          <w:t>Section 7.2</w:t>
        </w:r>
      </w:hyperlink>
      <w:r w:rsidR="0068476C" w:rsidRPr="0090051E">
        <w:t>.</w:t>
      </w:r>
    </w:p>
    <w:p w14:paraId="4ED9DB1A" w14:textId="38C4CB71" w:rsidR="00C72350" w:rsidRPr="0090051E" w:rsidRDefault="000E2F0C" w:rsidP="00D70042">
      <w:r w:rsidRPr="0090051E">
        <w:t>E</w:t>
      </w:r>
      <w:r w:rsidR="00C72350" w:rsidRPr="0090051E">
        <w:t xml:space="preserve">nrollment of students and their dependents always begins on the first calendar day of a month, </w:t>
      </w:r>
      <w:r w:rsidR="006003C1" w:rsidRPr="0090051E">
        <w:t xml:space="preserve">with limited exceptions, </w:t>
      </w:r>
      <w:r w:rsidR="00C72350" w:rsidRPr="0090051E">
        <w:t xml:space="preserve">subject to qualifying events rules defined in </w:t>
      </w:r>
      <w:hyperlink w:anchor="_7.2_Qualifying_events" w:history="1">
        <w:r w:rsidR="006003C1" w:rsidRPr="0090051E">
          <w:rPr>
            <w:rStyle w:val="Hyperlink"/>
          </w:rPr>
          <w:t>Section 7.2</w:t>
        </w:r>
      </w:hyperlink>
      <w:r w:rsidR="00C72350" w:rsidRPr="0090051E">
        <w:t>.</w:t>
      </w:r>
    </w:p>
    <w:p w14:paraId="415C228D" w14:textId="77777777" w:rsidR="00A549E0" w:rsidRPr="0090051E" w:rsidRDefault="00A549E0" w:rsidP="00D70042"/>
    <w:p w14:paraId="13BBAE16" w14:textId="2DC87C23" w:rsidR="00B55069" w:rsidRPr="0090051E" w:rsidRDefault="00E64382" w:rsidP="00D70042">
      <w:pPr>
        <w:pStyle w:val="Heading2"/>
        <w:spacing w:before="0" w:after="120"/>
        <w:rPr>
          <w:i/>
          <w:color w:val="auto"/>
        </w:rPr>
      </w:pPr>
      <w:bookmarkStart w:id="61" w:name="_5.3_Initial_Enrollment"/>
      <w:bookmarkStart w:id="62" w:name="_Toc232415509"/>
      <w:bookmarkEnd w:id="61"/>
      <w:r w:rsidRPr="0090051E">
        <w:rPr>
          <w:i/>
          <w:color w:val="auto"/>
        </w:rPr>
        <w:t>5</w:t>
      </w:r>
      <w:r w:rsidR="00B55069" w:rsidRPr="0090051E">
        <w:rPr>
          <w:i/>
          <w:color w:val="auto"/>
        </w:rPr>
        <w:t>.</w:t>
      </w:r>
      <w:r w:rsidR="00C72350" w:rsidRPr="0090051E">
        <w:rPr>
          <w:i/>
          <w:color w:val="auto"/>
        </w:rPr>
        <w:t>3</w:t>
      </w:r>
      <w:r w:rsidR="00B55069" w:rsidRPr="0090051E">
        <w:rPr>
          <w:i/>
          <w:color w:val="auto"/>
        </w:rPr>
        <w:t xml:space="preserve"> Initial Enrollment – Visiting Students</w:t>
      </w:r>
      <w:bookmarkEnd w:id="62"/>
    </w:p>
    <w:p w14:paraId="221239E4" w14:textId="566C6B02" w:rsidR="00B55069" w:rsidRPr="0090051E" w:rsidRDefault="006003C1" w:rsidP="00D70042">
      <w:r w:rsidRPr="0090051E">
        <w:t xml:space="preserve">For enrolling </w:t>
      </w:r>
      <w:r w:rsidR="006F7857" w:rsidRPr="0090051E">
        <w:t>V</w:t>
      </w:r>
      <w:r w:rsidR="00B55069" w:rsidRPr="0090051E">
        <w:t xml:space="preserve">isiting </w:t>
      </w:r>
      <w:r w:rsidR="006F7857" w:rsidRPr="0090051E">
        <w:t>S</w:t>
      </w:r>
      <w:r w:rsidR="00B55069" w:rsidRPr="0090051E">
        <w:t>tudents</w:t>
      </w:r>
      <w:r w:rsidR="00D762F0" w:rsidRPr="0090051E">
        <w:t xml:space="preserve">, </w:t>
      </w:r>
      <w:r w:rsidRPr="0090051E">
        <w:t xml:space="preserve">the initial date of coverage in the MIT Student Health Insurance Plan will be </w:t>
      </w:r>
      <w:r w:rsidR="00DC6CBA" w:rsidRPr="0090051E">
        <w:t xml:space="preserve">the first day of the month </w:t>
      </w:r>
      <w:r w:rsidR="00FF6048" w:rsidRPr="0090051E">
        <w:t>in which</w:t>
      </w:r>
      <w:r w:rsidR="00DC6CBA" w:rsidRPr="0090051E">
        <w:t xml:space="preserve"> their appointment at MIT begins, unless their appointment begins on the first day of a month, in which case the coverage will begin on the day the appointment begins</w:t>
      </w:r>
      <w:r w:rsidR="00B55069" w:rsidRPr="0090051E">
        <w:t>.</w:t>
      </w:r>
      <w:r w:rsidR="00D762F0" w:rsidRPr="0090051E">
        <w:t xml:space="preserve"> Dependent enrollment occurs concurrent with the enrolment date of the Visiting Student, with limited exceptions, subject to qualifying events rules defined in </w:t>
      </w:r>
      <w:hyperlink w:anchor="_7.2_Qualifying_events" w:history="1">
        <w:r w:rsidR="00D762F0" w:rsidRPr="0090051E">
          <w:rPr>
            <w:rStyle w:val="Hyperlink"/>
          </w:rPr>
          <w:t>Section 7.2</w:t>
        </w:r>
      </w:hyperlink>
      <w:r w:rsidR="00D762F0" w:rsidRPr="0090051E">
        <w:t>.</w:t>
      </w:r>
    </w:p>
    <w:p w14:paraId="0D89EFDF" w14:textId="01CD130E" w:rsidR="006003C1" w:rsidRPr="0090051E" w:rsidRDefault="000E2F0C" w:rsidP="00D70042">
      <w:r w:rsidRPr="0090051E">
        <w:t>E</w:t>
      </w:r>
      <w:r w:rsidR="006003C1" w:rsidRPr="0090051E">
        <w:t xml:space="preserve">nrollment of visiting students and their dependents always begins on the first calendar day of a month, with limited exceptions, subject to qualifying events rules defined in </w:t>
      </w:r>
      <w:hyperlink w:anchor="_7.2_Qualifying_events" w:history="1">
        <w:r w:rsidR="006003C1" w:rsidRPr="0090051E">
          <w:rPr>
            <w:rStyle w:val="Hyperlink"/>
          </w:rPr>
          <w:t>Section 7.2</w:t>
        </w:r>
      </w:hyperlink>
      <w:r w:rsidR="006003C1" w:rsidRPr="0090051E">
        <w:t>.</w:t>
      </w:r>
    </w:p>
    <w:p w14:paraId="358E964C" w14:textId="77777777" w:rsidR="006003C1" w:rsidRPr="0090051E" w:rsidRDefault="006003C1" w:rsidP="00D70042"/>
    <w:p w14:paraId="18D830C1" w14:textId="12FB52FF" w:rsidR="00E64382" w:rsidRPr="0090051E" w:rsidRDefault="00E64382" w:rsidP="00D70042">
      <w:pPr>
        <w:pStyle w:val="Heading2"/>
        <w:spacing w:before="0" w:after="120"/>
        <w:rPr>
          <w:i/>
          <w:color w:val="auto"/>
        </w:rPr>
      </w:pPr>
      <w:bookmarkStart w:id="63" w:name="_5.4_Initial_Enrollment"/>
      <w:bookmarkStart w:id="64" w:name="_Toc232415510"/>
      <w:bookmarkEnd w:id="63"/>
      <w:r w:rsidRPr="0090051E">
        <w:rPr>
          <w:i/>
          <w:color w:val="auto"/>
        </w:rPr>
        <w:t>5.4 Initial Enrollment – Other Eligible Individuals</w:t>
      </w:r>
      <w:bookmarkEnd w:id="64"/>
    </w:p>
    <w:p w14:paraId="1FE32C69" w14:textId="0D555F1A" w:rsidR="006003C1" w:rsidRPr="0090051E" w:rsidRDefault="006003C1" w:rsidP="00D70042">
      <w:r w:rsidRPr="0090051E">
        <w:t xml:space="preserve">For enrolling Other Eligible Individuals, the initial date of coverage in the MIT Student Health Insurance Plan </w:t>
      </w:r>
      <w:r w:rsidR="007E6D95" w:rsidRPr="0090051E">
        <w:t xml:space="preserve">will be the first day of the month in which their appointment at MIT begins, unless their appointment begins on the first day of a month, in which case the coverage will begin on the day the appointment </w:t>
      </w:r>
      <w:r w:rsidRPr="0090051E">
        <w:t>begins.</w:t>
      </w:r>
      <w:r w:rsidR="00D762F0" w:rsidRPr="0090051E">
        <w:t xml:space="preserve"> Dependent enrollment occurs concurrent with the enrolment date of the Other Eligible Individual, with limited exceptions, subject to qualifying events rules defined in </w:t>
      </w:r>
      <w:hyperlink w:anchor="_7.2_Qualifying_events" w:history="1">
        <w:r w:rsidR="00D762F0" w:rsidRPr="0090051E">
          <w:rPr>
            <w:rStyle w:val="Hyperlink"/>
          </w:rPr>
          <w:t>Section 7.2</w:t>
        </w:r>
      </w:hyperlink>
      <w:r w:rsidR="00D762F0" w:rsidRPr="0090051E">
        <w:t>.</w:t>
      </w:r>
    </w:p>
    <w:p w14:paraId="5CECE6BE" w14:textId="20EC1D4F" w:rsidR="006003C1" w:rsidRPr="0090051E" w:rsidRDefault="000E2F0C" w:rsidP="00D70042">
      <w:r w:rsidRPr="0090051E">
        <w:t>E</w:t>
      </w:r>
      <w:r w:rsidR="006003C1" w:rsidRPr="0090051E">
        <w:t xml:space="preserve">nrollment of </w:t>
      </w:r>
      <w:r w:rsidR="003E2895" w:rsidRPr="0090051E">
        <w:t xml:space="preserve">Other Eligible Individuals </w:t>
      </w:r>
      <w:r w:rsidR="006003C1" w:rsidRPr="0090051E">
        <w:t xml:space="preserve">and their dependents always begins on the first calendar day of a month, with limited exceptions, subject to qualifying events rules defined in </w:t>
      </w:r>
      <w:hyperlink w:anchor="_7.2_Qualifying_events" w:history="1">
        <w:r w:rsidR="006003C1" w:rsidRPr="0090051E">
          <w:rPr>
            <w:rStyle w:val="Hyperlink"/>
          </w:rPr>
          <w:t>Section 7.2</w:t>
        </w:r>
      </w:hyperlink>
      <w:r w:rsidR="006003C1" w:rsidRPr="0090051E">
        <w:t>.</w:t>
      </w:r>
    </w:p>
    <w:p w14:paraId="303BA34F" w14:textId="77777777" w:rsidR="00A549E0" w:rsidRPr="0090051E" w:rsidRDefault="00A549E0" w:rsidP="00D70042"/>
    <w:p w14:paraId="28C96372" w14:textId="5ED8BD68" w:rsidR="00F20B55" w:rsidRPr="0090051E" w:rsidRDefault="00E64382" w:rsidP="00D70042">
      <w:pPr>
        <w:pStyle w:val="Heading2"/>
        <w:spacing w:before="0" w:after="120"/>
        <w:rPr>
          <w:i/>
          <w:color w:val="auto"/>
        </w:rPr>
      </w:pPr>
      <w:bookmarkStart w:id="65" w:name="_Toc232415511"/>
      <w:r w:rsidRPr="0090051E">
        <w:rPr>
          <w:i/>
          <w:color w:val="auto"/>
        </w:rPr>
        <w:t>5</w:t>
      </w:r>
      <w:r w:rsidR="00F20B55" w:rsidRPr="0090051E">
        <w:rPr>
          <w:i/>
          <w:color w:val="auto"/>
        </w:rPr>
        <w:t>.</w:t>
      </w:r>
      <w:r w:rsidR="003E2895" w:rsidRPr="0090051E">
        <w:rPr>
          <w:i/>
          <w:color w:val="auto"/>
        </w:rPr>
        <w:t>5</w:t>
      </w:r>
      <w:r w:rsidR="00F20B55" w:rsidRPr="0090051E">
        <w:rPr>
          <w:i/>
          <w:color w:val="auto"/>
        </w:rPr>
        <w:t xml:space="preserve"> Renewals</w:t>
      </w:r>
      <w:bookmarkEnd w:id="65"/>
    </w:p>
    <w:p w14:paraId="02251CA8" w14:textId="32371759" w:rsidR="00ED2389" w:rsidRPr="0090051E" w:rsidRDefault="00ED2389" w:rsidP="00D70042">
      <w:r w:rsidRPr="0090051E">
        <w:t>S</w:t>
      </w:r>
      <w:r w:rsidR="006A6375" w:rsidRPr="0090051E">
        <w:t>tudents</w:t>
      </w:r>
      <w:r w:rsidRPr="0090051E">
        <w:t xml:space="preserve"> and </w:t>
      </w:r>
      <w:r w:rsidR="00B55069" w:rsidRPr="0090051E">
        <w:t>visiting student</w:t>
      </w:r>
      <w:r w:rsidR="008528E1" w:rsidRPr="0090051E">
        <w:t>s</w:t>
      </w:r>
      <w:r w:rsidR="00AB322A" w:rsidRPr="0090051E">
        <w:t xml:space="preserve"> </w:t>
      </w:r>
      <w:r w:rsidRPr="0090051E">
        <w:t xml:space="preserve">who are automatically enrolled in the MIT Student Health Insurance Plan or required to demonstrate comparable coverage from another source and who remain eligible for the </w:t>
      </w:r>
      <w:r w:rsidR="00061642" w:rsidRPr="0090051E">
        <w:t>plan</w:t>
      </w:r>
      <w:r w:rsidRPr="0090051E">
        <w:t xml:space="preserve"> at the end of a benefit year will be automatically enrolled for the subsequent benefit year, with coverage effective on September 1, unless they waive coverage during the Open Enrollment.</w:t>
      </w:r>
    </w:p>
    <w:p w14:paraId="2653841C" w14:textId="4249F83D" w:rsidR="00ED2389" w:rsidRPr="0090051E" w:rsidRDefault="00ED2389" w:rsidP="00D70042">
      <w:r w:rsidRPr="0090051E">
        <w:t>Student</w:t>
      </w:r>
      <w:r w:rsidR="006F7857" w:rsidRPr="0090051E">
        <w:t>s</w:t>
      </w:r>
      <w:r w:rsidR="00FC5524" w:rsidRPr="0090051E">
        <w:t xml:space="preserve"> and Other Eligible Individuals</w:t>
      </w:r>
      <w:r w:rsidR="006F7857" w:rsidRPr="0090051E">
        <w:t xml:space="preserve"> </w:t>
      </w:r>
      <w:r w:rsidRPr="0090051E">
        <w:t>who are not automatically enrolled in the MIT Student health Insurance plan</w:t>
      </w:r>
      <w:r w:rsidR="00E5735C" w:rsidRPr="0090051E">
        <w:t xml:space="preserve"> </w:t>
      </w:r>
      <w:r w:rsidR="006A6375" w:rsidRPr="0090051E">
        <w:t xml:space="preserve">and who remain eligible for </w:t>
      </w:r>
      <w:r w:rsidR="00CA143A" w:rsidRPr="0090051E">
        <w:t>the</w:t>
      </w:r>
      <w:r w:rsidR="00B55069" w:rsidRPr="0090051E">
        <w:t xml:space="preserve"> </w:t>
      </w:r>
      <w:r w:rsidR="00061642" w:rsidRPr="0090051E">
        <w:t>plan</w:t>
      </w:r>
      <w:r w:rsidR="00E5735C" w:rsidRPr="0090051E">
        <w:t xml:space="preserve"> </w:t>
      </w:r>
      <w:r w:rsidR="006A6375" w:rsidRPr="0090051E">
        <w:t xml:space="preserve">at the end of a </w:t>
      </w:r>
      <w:r w:rsidR="000D43A2" w:rsidRPr="0090051E">
        <w:t xml:space="preserve">benefit </w:t>
      </w:r>
      <w:r w:rsidR="006A6375" w:rsidRPr="0090051E">
        <w:t xml:space="preserve">year </w:t>
      </w:r>
      <w:r w:rsidRPr="0090051E">
        <w:t>must affirmatively reenroll in or waive coverage for the subsequent benefit year, with coverage effective on September 1.</w:t>
      </w:r>
    </w:p>
    <w:p w14:paraId="494EE21E" w14:textId="2AC5206A" w:rsidR="00A93582" w:rsidRPr="0090051E" w:rsidRDefault="00A93582" w:rsidP="00D70042">
      <w:r w:rsidRPr="0090051E">
        <w:t>Dependents who are enrolled in the MIT Student Health Insurance Plan and who remain eligible for the MIT Student Health Insurance Plan at the end of a benefit year must affirmatively reenroll in coverage for the subsequent benefit year, with coverage effective on September 1.</w:t>
      </w:r>
    </w:p>
    <w:p w14:paraId="2C3A07ED" w14:textId="77777777" w:rsidR="00A93582" w:rsidRPr="0090051E" w:rsidRDefault="00A93582" w:rsidP="00D70042"/>
    <w:p w14:paraId="0453201C" w14:textId="77777777" w:rsidR="006A6375" w:rsidRPr="0090051E" w:rsidRDefault="006A6375" w:rsidP="00D70042">
      <w:pPr>
        <w:sectPr w:rsidR="006A6375" w:rsidRPr="0090051E" w:rsidSect="00BA68BD">
          <w:pgSz w:w="12240" w:h="15840"/>
          <w:pgMar w:top="1440" w:right="1440" w:bottom="1440" w:left="1440" w:header="720" w:footer="720" w:gutter="0"/>
          <w:cols w:space="720"/>
          <w:docGrid w:linePitch="360"/>
        </w:sectPr>
      </w:pPr>
    </w:p>
    <w:p w14:paraId="04038979" w14:textId="0AA55164" w:rsidR="00C30AD2" w:rsidRPr="0090051E" w:rsidRDefault="00E64382" w:rsidP="00D70042">
      <w:pPr>
        <w:pStyle w:val="Heading1"/>
        <w:spacing w:before="0" w:after="240"/>
        <w:rPr>
          <w:b/>
          <w:color w:val="C00000"/>
        </w:rPr>
      </w:pPr>
      <w:bookmarkStart w:id="66" w:name="_6.0_Waivers"/>
      <w:bookmarkStart w:id="67" w:name="_Toc232415512"/>
      <w:bookmarkEnd w:id="66"/>
      <w:r w:rsidRPr="0090051E">
        <w:rPr>
          <w:b/>
          <w:color w:val="C00000"/>
        </w:rPr>
        <w:lastRenderedPageBreak/>
        <w:t>6</w:t>
      </w:r>
      <w:r w:rsidR="00BF4A77" w:rsidRPr="0090051E">
        <w:rPr>
          <w:b/>
          <w:color w:val="C00000"/>
        </w:rPr>
        <w:t xml:space="preserve">.0 </w:t>
      </w:r>
      <w:r w:rsidR="00C30AD2" w:rsidRPr="0090051E">
        <w:rPr>
          <w:b/>
          <w:color w:val="C00000"/>
        </w:rPr>
        <w:t>Waivers</w:t>
      </w:r>
      <w:bookmarkEnd w:id="67"/>
    </w:p>
    <w:p w14:paraId="16BD9C62" w14:textId="686BF565" w:rsidR="00BF4A77" w:rsidRPr="0090051E" w:rsidRDefault="00E64382" w:rsidP="00D70042">
      <w:pPr>
        <w:pStyle w:val="Heading2"/>
        <w:spacing w:before="0" w:after="120"/>
        <w:rPr>
          <w:i/>
          <w:color w:val="auto"/>
        </w:rPr>
      </w:pPr>
      <w:bookmarkStart w:id="68" w:name="_6.1_Comparable_Coverage"/>
      <w:bookmarkStart w:id="69" w:name="_Toc232415513"/>
      <w:bookmarkEnd w:id="68"/>
      <w:r w:rsidRPr="0090051E">
        <w:rPr>
          <w:i/>
          <w:color w:val="auto"/>
        </w:rPr>
        <w:t>6</w:t>
      </w:r>
      <w:r w:rsidR="00BF4A77" w:rsidRPr="0090051E">
        <w:rPr>
          <w:i/>
          <w:color w:val="auto"/>
        </w:rPr>
        <w:t>.1 Comparable Coverage</w:t>
      </w:r>
      <w:bookmarkEnd w:id="69"/>
      <w:r w:rsidR="00BF4A77" w:rsidRPr="0090051E">
        <w:rPr>
          <w:i/>
          <w:color w:val="auto"/>
        </w:rPr>
        <w:t xml:space="preserve"> </w:t>
      </w:r>
    </w:p>
    <w:p w14:paraId="032522A3" w14:textId="3B734CB8" w:rsidR="00C30AD2" w:rsidRPr="0090051E" w:rsidRDefault="00DC3AEE" w:rsidP="00D70042">
      <w:r w:rsidRPr="0090051E">
        <w:t xml:space="preserve">Some students, as defined in </w:t>
      </w:r>
      <w:hyperlink w:anchor="_1.0_Students" w:history="1">
        <w:r w:rsidRPr="0090051E">
          <w:rPr>
            <w:rStyle w:val="Hyperlink"/>
          </w:rPr>
          <w:t>Section 1.0</w:t>
        </w:r>
      </w:hyperlink>
      <w:r w:rsidR="00822CFA" w:rsidRPr="0090051E">
        <w:t>,</w:t>
      </w:r>
      <w:r w:rsidR="00D02ACF" w:rsidRPr="0090051E">
        <w:t xml:space="preserve"> </w:t>
      </w:r>
      <w:r w:rsidR="00C30AD2" w:rsidRPr="0090051E">
        <w:t xml:space="preserve">must enroll in the </w:t>
      </w:r>
      <w:r w:rsidR="00E5735C" w:rsidRPr="0090051E">
        <w:t xml:space="preserve">MIT Student Health Insurance Plan </w:t>
      </w:r>
      <w:r w:rsidR="00C30AD2" w:rsidRPr="0090051E">
        <w:t>or demonstrate that they are enrolled in “comparable coverage.”</w:t>
      </w:r>
    </w:p>
    <w:p w14:paraId="42AE822F" w14:textId="77777777" w:rsidR="00C30AD2" w:rsidRPr="0090051E" w:rsidRDefault="00C30AD2" w:rsidP="00D70042">
      <w:r w:rsidRPr="0090051E">
        <w:t xml:space="preserve">Coverage under a </w:t>
      </w:r>
      <w:r w:rsidR="00C86E6A" w:rsidRPr="0090051E">
        <w:t>h</w:t>
      </w:r>
      <w:r w:rsidRPr="0090051E">
        <w:t xml:space="preserve">ealth </w:t>
      </w:r>
      <w:r w:rsidR="00C86E6A" w:rsidRPr="0090051E">
        <w:t>b</w:t>
      </w:r>
      <w:r w:rsidRPr="0090051E">
        <w:t xml:space="preserve">enefit </w:t>
      </w:r>
      <w:r w:rsidR="00C86E6A" w:rsidRPr="0090051E">
        <w:t xml:space="preserve">plan </w:t>
      </w:r>
      <w:r w:rsidRPr="0090051E">
        <w:t>is comparable if:</w:t>
      </w:r>
    </w:p>
    <w:p w14:paraId="3BC51D0B" w14:textId="72D75C53" w:rsidR="00C30AD2" w:rsidRPr="0090051E" w:rsidRDefault="00C30AD2">
      <w:pPr>
        <w:pStyle w:val="ListParagraph"/>
        <w:numPr>
          <w:ilvl w:val="0"/>
          <w:numId w:val="4"/>
        </w:numPr>
      </w:pPr>
      <w:r w:rsidRPr="0090051E">
        <w:t>The student is enrolled in a plan that provides, throughout the school year, reasonably comprehensive coverage of health services, including preventive and primary care, emergency services, surgical services, hospitalization benefits, ambulatory patient services, mental health services, and prescription drugs; and the services covered under the plan, including all services required by Massachusetts’ regulation</w:t>
      </w:r>
      <w:r w:rsidR="001D0A01" w:rsidRPr="0090051E">
        <w:t>,</w:t>
      </w:r>
      <w:r w:rsidR="00EB1BCD" w:rsidRPr="0090051E">
        <w:rPr>
          <w:rStyle w:val="FootnoteReference"/>
        </w:rPr>
        <w:footnoteReference w:id="4"/>
      </w:r>
      <w:r w:rsidRPr="0090051E">
        <w:t xml:space="preserve"> are reasonably accessible in the area where the student attends school</w:t>
      </w:r>
      <w:r w:rsidR="00D9380C" w:rsidRPr="0090051E">
        <w:t xml:space="preserve">, which </w:t>
      </w:r>
      <w:r w:rsidR="00D43DC1" w:rsidRPr="0090051E">
        <w:t>the MIT Student Insurance Office</w:t>
      </w:r>
      <w:r w:rsidR="00D9380C" w:rsidRPr="0090051E">
        <w:t xml:space="preserve"> has determined to be plans providing access to providers in Massachusetts</w:t>
      </w:r>
      <w:r w:rsidRPr="0090051E">
        <w:t>.</w:t>
      </w:r>
    </w:p>
    <w:p w14:paraId="13F802EB" w14:textId="77777777" w:rsidR="00C30AD2" w:rsidRPr="0090051E" w:rsidRDefault="00C30AD2" w:rsidP="00D70042">
      <w:pPr>
        <w:ind w:firstLine="360"/>
      </w:pPr>
      <w:r w:rsidRPr="0090051E">
        <w:t>OR</w:t>
      </w:r>
    </w:p>
    <w:p w14:paraId="2C94B5A2" w14:textId="77777777" w:rsidR="00C30AD2" w:rsidRPr="0090051E" w:rsidRDefault="00C30AD2">
      <w:pPr>
        <w:pStyle w:val="ListParagraph"/>
        <w:numPr>
          <w:ilvl w:val="0"/>
          <w:numId w:val="4"/>
        </w:numPr>
      </w:pPr>
      <w:r w:rsidRPr="0090051E">
        <w:t>The student is enrolled in a subsidized plan through the Massachusetts Health Connector or MassHealth, with the exception of coverage through the Health Safety Net, MassHealth Limited or the Children’s Medical Security Plan.</w:t>
      </w:r>
    </w:p>
    <w:p w14:paraId="6008CD89" w14:textId="77777777" w:rsidR="00C30AD2" w:rsidRPr="0090051E" w:rsidRDefault="001C1489" w:rsidP="00D70042">
      <w:r w:rsidRPr="0090051E">
        <w:t xml:space="preserve">Coverage from a Medicaid program other than Massachusetts is not considered comparable coverage. </w:t>
      </w:r>
      <w:r w:rsidR="00C30AD2" w:rsidRPr="0090051E">
        <w:t>Coverage from outside of the United States, including foreign insurers or National Health Service programs, is not considered comparable coverage, unless the student is studying in a foreign country and the insurance provides coverage in that country.</w:t>
      </w:r>
    </w:p>
    <w:p w14:paraId="4CC1D7C3" w14:textId="77777777" w:rsidR="00C30AD2" w:rsidRPr="0090051E" w:rsidRDefault="00C30AD2" w:rsidP="00D70042">
      <w:r w:rsidRPr="0090051E">
        <w:t>A plan that includes a closed network of providers who are not reasonably accessible in the area where the student attends school is not considered comparable coverage. Access to emergency services is not considered sufficient for reasonable access.</w:t>
      </w:r>
    </w:p>
    <w:p w14:paraId="437F2942" w14:textId="62512312" w:rsidR="00247CF9" w:rsidRPr="0090051E" w:rsidRDefault="00C72350" w:rsidP="00D70042">
      <w:r w:rsidRPr="0090051E">
        <w:t xml:space="preserve">Consistent with flexibility provided in the </w:t>
      </w:r>
      <w:r w:rsidR="00247CF9" w:rsidRPr="0090051E">
        <w:t xml:space="preserve">Massachusetts regulations, </w:t>
      </w:r>
      <w:r w:rsidR="00D43DC1" w:rsidRPr="0090051E">
        <w:t>the MIT Student Insurance Office</w:t>
      </w:r>
      <w:r w:rsidRPr="0090051E">
        <w:t xml:space="preserve"> </w:t>
      </w:r>
      <w:r w:rsidR="00247CF9" w:rsidRPr="0090051E">
        <w:t>does not allow for students</w:t>
      </w:r>
      <w:r w:rsidR="00BF27FF" w:rsidRPr="0090051E">
        <w:t xml:space="preserve"> or visiting students</w:t>
      </w:r>
      <w:r w:rsidR="00247CF9" w:rsidRPr="0090051E">
        <w:t xml:space="preserve"> to waive without comparable coverage </w:t>
      </w:r>
      <w:r w:rsidR="00613E75" w:rsidRPr="0090051E">
        <w:t>based on a religious exemption.</w:t>
      </w:r>
      <w:r w:rsidR="008B22DA" w:rsidRPr="0090051E">
        <w:t xml:space="preserve"> This includes coverage provided by health care ministries or similar programs that share costs between members but are not considered as health insurance under Massachusetts’ regulation.</w:t>
      </w:r>
    </w:p>
    <w:p w14:paraId="005EA584" w14:textId="77777777" w:rsidR="00C30AD2" w:rsidRPr="0090051E" w:rsidRDefault="00C30AD2" w:rsidP="00D70042"/>
    <w:p w14:paraId="4A0078F1" w14:textId="29AD3C32" w:rsidR="00BF4A77" w:rsidRPr="0090051E" w:rsidRDefault="00CA3FC1" w:rsidP="00D70042">
      <w:pPr>
        <w:pStyle w:val="Heading2"/>
        <w:spacing w:before="0" w:after="120"/>
        <w:rPr>
          <w:i/>
          <w:color w:val="auto"/>
        </w:rPr>
      </w:pPr>
      <w:bookmarkStart w:id="70" w:name="_Toc232415514"/>
      <w:r w:rsidRPr="0090051E">
        <w:rPr>
          <w:i/>
          <w:color w:val="auto"/>
        </w:rPr>
        <w:t>6</w:t>
      </w:r>
      <w:r w:rsidR="00BF4A77" w:rsidRPr="0090051E">
        <w:rPr>
          <w:i/>
          <w:color w:val="auto"/>
        </w:rPr>
        <w:t>.2 Waiver Process</w:t>
      </w:r>
      <w:bookmarkEnd w:id="70"/>
    </w:p>
    <w:p w14:paraId="0F2C940A" w14:textId="285A9043" w:rsidR="00633779" w:rsidRPr="0090051E" w:rsidRDefault="00BD644A" w:rsidP="00D70042">
      <w:r w:rsidRPr="0090051E">
        <w:t>A student</w:t>
      </w:r>
      <w:r w:rsidR="00A767B4" w:rsidRPr="0090051E">
        <w:t xml:space="preserve"> </w:t>
      </w:r>
      <w:r w:rsidR="00C30AD2" w:rsidRPr="0090051E">
        <w:t xml:space="preserve">that is enrolled in comparable coverage may waive enrollment in the </w:t>
      </w:r>
      <w:r w:rsidR="00E5735C" w:rsidRPr="0090051E">
        <w:t>MIT Student Health Insurance Plan</w:t>
      </w:r>
      <w:r w:rsidR="00633779" w:rsidRPr="0090051E">
        <w:t xml:space="preserve">. </w:t>
      </w:r>
    </w:p>
    <w:p w14:paraId="007B2582" w14:textId="4A7239DC" w:rsidR="001E26EF" w:rsidRPr="0090051E" w:rsidRDefault="001E26EF" w:rsidP="00D70042">
      <w:r w:rsidRPr="0090051E">
        <w:lastRenderedPageBreak/>
        <w:t>For a student who elects to waive prior to the Fall Coverage Period, the waiver will be effective for the full plan year (September 1 through August 31), unless the student elects to enroll in coverage as a result of a qualifying event.</w:t>
      </w:r>
    </w:p>
    <w:p w14:paraId="7E47DFA0" w14:textId="7DFFE602" w:rsidR="00633779" w:rsidRPr="0090051E" w:rsidRDefault="00633779" w:rsidP="00D70042">
      <w:r w:rsidRPr="0090051E">
        <w:t xml:space="preserve">Waivers may not be submitted for periods longer than </w:t>
      </w:r>
      <w:r w:rsidR="00456B78" w:rsidRPr="0090051E">
        <w:t>a health plan coverage year</w:t>
      </w:r>
      <w:r w:rsidRPr="0090051E">
        <w:t xml:space="preserve">. Waivers submitted for a </w:t>
      </w:r>
      <w:r w:rsidR="00456B78" w:rsidRPr="0090051E">
        <w:t xml:space="preserve">health plan coverage </w:t>
      </w:r>
      <w:r w:rsidRPr="0090051E">
        <w:t xml:space="preserve">year will not be automatically applied to the following </w:t>
      </w:r>
      <w:r w:rsidR="005457EF" w:rsidRPr="0090051E">
        <w:t xml:space="preserve">health plan </w:t>
      </w:r>
      <w:r w:rsidR="004F48AE" w:rsidRPr="0090051E">
        <w:t>coverage</w:t>
      </w:r>
      <w:r w:rsidR="00BD644A" w:rsidRPr="0090051E">
        <w:t xml:space="preserve"> </w:t>
      </w:r>
      <w:r w:rsidR="00BE626A" w:rsidRPr="0090051E">
        <w:t>year</w:t>
      </w:r>
      <w:r w:rsidR="00BD644A" w:rsidRPr="0090051E">
        <w:t xml:space="preserve">; students </w:t>
      </w:r>
      <w:r w:rsidRPr="0090051E">
        <w:t xml:space="preserve">must affirmatively waive any future </w:t>
      </w:r>
      <w:r w:rsidR="005457EF" w:rsidRPr="0090051E">
        <w:t xml:space="preserve">health plan </w:t>
      </w:r>
      <w:r w:rsidR="004F48AE" w:rsidRPr="0090051E">
        <w:t xml:space="preserve">coverage </w:t>
      </w:r>
      <w:r w:rsidR="00BE626A" w:rsidRPr="0090051E">
        <w:t>years</w:t>
      </w:r>
      <w:r w:rsidRPr="0090051E">
        <w:t>.</w:t>
      </w:r>
    </w:p>
    <w:p w14:paraId="0C33CB93" w14:textId="4B1CE2FD" w:rsidR="00633779" w:rsidRPr="0090051E" w:rsidRDefault="00633779" w:rsidP="0025250C">
      <w:r w:rsidRPr="0090051E">
        <w:t>In order to waive coverage, a studen</w:t>
      </w:r>
      <w:r w:rsidR="00BD644A" w:rsidRPr="0090051E">
        <w:t xml:space="preserve">t </w:t>
      </w:r>
      <w:r w:rsidR="00BF27FF" w:rsidRPr="0090051E">
        <w:t xml:space="preserve">or visiting student </w:t>
      </w:r>
      <w:r w:rsidRPr="0090051E">
        <w:t xml:space="preserve">must submit a complete and valid waiver no later than </w:t>
      </w:r>
      <w:r w:rsidR="00582DEC" w:rsidRPr="0090051E">
        <w:t>11</w:t>
      </w:r>
      <w:r w:rsidRPr="0090051E">
        <w:t>:</w:t>
      </w:r>
      <w:r w:rsidR="00582DEC" w:rsidRPr="0090051E">
        <w:t>59</w:t>
      </w:r>
      <w:r w:rsidRPr="0090051E">
        <w:t xml:space="preserve"> PM Eastern on August </w:t>
      </w:r>
      <w:r w:rsidR="001E26EF" w:rsidRPr="0090051E">
        <w:t>15</w:t>
      </w:r>
      <w:r w:rsidR="00861F17" w:rsidRPr="0090051E">
        <w:t>.</w:t>
      </w:r>
    </w:p>
    <w:p w14:paraId="677E010D" w14:textId="5301FA30" w:rsidR="001B5A85" w:rsidRPr="0090051E" w:rsidRDefault="001B5A85" w:rsidP="00D70042">
      <w:r w:rsidRPr="0090051E">
        <w:t xml:space="preserve">Waivers </w:t>
      </w:r>
      <w:r w:rsidR="006E58D4" w:rsidRPr="0090051E">
        <w:t xml:space="preserve">may </w:t>
      </w:r>
      <w:r w:rsidRPr="0090051E">
        <w:t>be submitted by the student</w:t>
      </w:r>
      <w:r w:rsidR="00861F17" w:rsidRPr="0090051E">
        <w:t xml:space="preserve"> </w:t>
      </w:r>
      <w:r w:rsidR="001E26EF" w:rsidRPr="0090051E">
        <w:t>or a responsible party acting on their behalf</w:t>
      </w:r>
      <w:r w:rsidRPr="0090051E">
        <w:t>.</w:t>
      </w:r>
    </w:p>
    <w:p w14:paraId="67FB40B6" w14:textId="172B8FE9" w:rsidR="00EB433A" w:rsidRPr="0090051E" w:rsidRDefault="00BD644A" w:rsidP="00D70042">
      <w:r w:rsidRPr="0090051E">
        <w:t>Students</w:t>
      </w:r>
      <w:r w:rsidR="005913DF" w:rsidRPr="0090051E">
        <w:t xml:space="preserve"> </w:t>
      </w:r>
      <w:r w:rsidR="00633779" w:rsidRPr="0090051E">
        <w:t>may add, remove or modify their waiver status at any point prior the deadline</w:t>
      </w:r>
      <w:r w:rsidRPr="0090051E">
        <w:t xml:space="preserve">. </w:t>
      </w:r>
      <w:r w:rsidR="001B5A85" w:rsidRPr="0090051E">
        <w:t xml:space="preserve">Students </w:t>
      </w:r>
      <w:r w:rsidR="00EB433A" w:rsidRPr="0090051E">
        <w:t>who elect to waive coverage may not modify that status after the deadline, even if they become enrolled in coverage that would otherwise meet the criteria of comparable coverage.</w:t>
      </w:r>
    </w:p>
    <w:p w14:paraId="2CEE8306" w14:textId="641D8755" w:rsidR="00EB433A" w:rsidRPr="0090051E" w:rsidRDefault="00EB433A" w:rsidP="00D70042">
      <w:r w:rsidRPr="0090051E">
        <w:t>Failure to submit a complete and valid waiver by the</w:t>
      </w:r>
      <w:r w:rsidR="00881CF8" w:rsidRPr="0090051E">
        <w:t xml:space="preserve"> above</w:t>
      </w:r>
      <w:r w:rsidRPr="0090051E">
        <w:t xml:space="preserve"> dates will result in the </w:t>
      </w:r>
      <w:r w:rsidR="00881CF8" w:rsidRPr="0090051E">
        <w:t xml:space="preserve">eligible </w:t>
      </w:r>
      <w:r w:rsidRPr="0090051E">
        <w:t xml:space="preserve">student being enrolled in the </w:t>
      </w:r>
      <w:r w:rsidR="00E5735C" w:rsidRPr="0090051E">
        <w:t xml:space="preserve">MIT Student Health Insurance Plan </w:t>
      </w:r>
      <w:r w:rsidRPr="0090051E">
        <w:t xml:space="preserve">for the full </w:t>
      </w:r>
      <w:r w:rsidR="004F48AE" w:rsidRPr="0090051E">
        <w:t xml:space="preserve">health plan coverage </w:t>
      </w:r>
      <w:r w:rsidR="00090621" w:rsidRPr="0090051E">
        <w:t xml:space="preserve">year </w:t>
      </w:r>
      <w:r w:rsidRPr="0090051E">
        <w:t xml:space="preserve">and </w:t>
      </w:r>
      <w:r w:rsidR="00881CF8" w:rsidRPr="0090051E">
        <w:t>the student</w:t>
      </w:r>
      <w:r w:rsidR="00456B78" w:rsidRPr="0090051E">
        <w:t xml:space="preserve"> </w:t>
      </w:r>
      <w:r w:rsidRPr="0090051E">
        <w:t xml:space="preserve">will be responsible for the costs of the plan for that </w:t>
      </w:r>
      <w:r w:rsidR="004F48AE" w:rsidRPr="0090051E">
        <w:t xml:space="preserve">health plan coverage </w:t>
      </w:r>
      <w:r w:rsidR="00090621" w:rsidRPr="0090051E">
        <w:t>year</w:t>
      </w:r>
      <w:r w:rsidRPr="0090051E">
        <w:t xml:space="preserve">. </w:t>
      </w:r>
    </w:p>
    <w:p w14:paraId="55254F26" w14:textId="1AC76B1A" w:rsidR="0055322C" w:rsidRPr="0090051E" w:rsidRDefault="00D43DC1" w:rsidP="00D70042">
      <w:r w:rsidRPr="0090051E">
        <w:t>The MIT Student Insurance Office</w:t>
      </w:r>
      <w:r w:rsidR="0055322C" w:rsidRPr="0090051E">
        <w:t xml:space="preserve"> may, </w:t>
      </w:r>
      <w:r w:rsidR="00456B78" w:rsidRPr="0090051E">
        <w:t>at</w:t>
      </w:r>
      <w:r w:rsidR="0055322C" w:rsidRPr="0090051E">
        <w:t xml:space="preserve"> its sole discretion, accept new or modified waivers after the published deadlines in circumstances it deems exceptional.</w:t>
      </w:r>
      <w:r w:rsidR="00945A8E" w:rsidRPr="0090051E">
        <w:t xml:space="preserve"> </w:t>
      </w:r>
      <w:r w:rsidR="00D50903" w:rsidRPr="0090051E">
        <w:t xml:space="preserve">All requests must be made in writing to </w:t>
      </w:r>
      <w:r w:rsidRPr="0090051E">
        <w:t>the MIT Student Insurance Office</w:t>
      </w:r>
      <w:r w:rsidR="00D50903" w:rsidRPr="0090051E">
        <w:t xml:space="preserve">. </w:t>
      </w:r>
      <w:r w:rsidRPr="0090051E">
        <w:t xml:space="preserve">The MIT </w:t>
      </w:r>
      <w:r w:rsidR="00C00259" w:rsidRPr="0090051E">
        <w:t xml:space="preserve">Student </w:t>
      </w:r>
      <w:r w:rsidRPr="0090051E">
        <w:t>Insurance Office</w:t>
      </w:r>
      <w:r w:rsidR="00945A8E" w:rsidRPr="0090051E">
        <w:t xml:space="preserve"> may</w:t>
      </w:r>
      <w:r w:rsidR="00BE626A" w:rsidRPr="0090051E">
        <w:t xml:space="preserve">, </w:t>
      </w:r>
      <w:r w:rsidR="00456B78" w:rsidRPr="0090051E">
        <w:t>at</w:t>
      </w:r>
      <w:r w:rsidR="00BE626A" w:rsidRPr="0090051E">
        <w:t xml:space="preserve"> its sole discretion, </w:t>
      </w:r>
      <w:r w:rsidR="00945A8E" w:rsidRPr="0090051E">
        <w:t>impose a fee</w:t>
      </w:r>
      <w:r w:rsidR="006E2C92" w:rsidRPr="0090051E">
        <w:t xml:space="preserve"> of</w:t>
      </w:r>
      <w:r w:rsidR="00456B78" w:rsidRPr="0090051E">
        <w:t xml:space="preserve"> up to</w:t>
      </w:r>
      <w:r w:rsidR="006E2C92" w:rsidRPr="0090051E">
        <w:t xml:space="preserve"> $150</w:t>
      </w:r>
      <w:r w:rsidR="00945A8E" w:rsidRPr="0090051E">
        <w:t xml:space="preserve"> for the processing of waivers submitted after the published deadlines</w:t>
      </w:r>
      <w:r w:rsidR="007B5403" w:rsidRPr="0090051E">
        <w:t>.</w:t>
      </w:r>
    </w:p>
    <w:p w14:paraId="135A5A12" w14:textId="288D924D" w:rsidR="00D4409F" w:rsidRPr="0090051E" w:rsidRDefault="00D43DC1" w:rsidP="00D70042">
      <w:r w:rsidRPr="0090051E">
        <w:t>The MIT Student Insurance Office</w:t>
      </w:r>
      <w:r w:rsidR="00EB1BCD" w:rsidRPr="0090051E">
        <w:t xml:space="preserve">, or its vendors and partners, may, at their discretion, confirm the coverage provided by the student </w:t>
      </w:r>
      <w:r w:rsidR="00456B78" w:rsidRPr="0090051E">
        <w:t xml:space="preserve">or visiting student </w:t>
      </w:r>
      <w:r w:rsidR="00EB1BCD" w:rsidRPr="0090051E">
        <w:t>is valid</w:t>
      </w:r>
      <w:r w:rsidR="00BF27FF" w:rsidRPr="0090051E">
        <w:t xml:space="preserve">, </w:t>
      </w:r>
      <w:r w:rsidR="00EB1BCD" w:rsidRPr="0090051E">
        <w:t>active</w:t>
      </w:r>
      <w:r w:rsidR="00BF27FF" w:rsidRPr="0090051E">
        <w:t xml:space="preserve"> and meets the comparable coverage requirements</w:t>
      </w:r>
      <w:r w:rsidR="00EB1BCD" w:rsidRPr="0090051E">
        <w:t>.</w:t>
      </w:r>
    </w:p>
    <w:p w14:paraId="0C3E2249" w14:textId="77777777" w:rsidR="00644E2B" w:rsidRPr="0090051E" w:rsidRDefault="00644E2B" w:rsidP="00D70042"/>
    <w:p w14:paraId="46B5F168" w14:textId="77777777" w:rsidR="00855443" w:rsidRPr="0090051E" w:rsidRDefault="00855443" w:rsidP="00D70042">
      <w:pPr>
        <w:pStyle w:val="Heading1"/>
        <w:spacing w:before="0" w:after="240"/>
        <w:rPr>
          <w:b/>
          <w:color w:val="C00000"/>
        </w:rPr>
        <w:sectPr w:rsidR="00855443" w:rsidRPr="0090051E" w:rsidSect="00BA68BD">
          <w:pgSz w:w="12240" w:h="15840"/>
          <w:pgMar w:top="1440" w:right="1440" w:bottom="1440" w:left="1440" w:header="720" w:footer="720" w:gutter="0"/>
          <w:cols w:space="720"/>
          <w:docGrid w:linePitch="360"/>
        </w:sectPr>
      </w:pPr>
    </w:p>
    <w:p w14:paraId="4CFB0709" w14:textId="667E1010" w:rsidR="0025342E" w:rsidRPr="0090051E" w:rsidRDefault="001D7147" w:rsidP="00D70042">
      <w:pPr>
        <w:pStyle w:val="Heading1"/>
        <w:spacing w:before="0" w:after="240"/>
        <w:rPr>
          <w:b/>
          <w:color w:val="C00000"/>
        </w:rPr>
      </w:pPr>
      <w:bookmarkStart w:id="71" w:name="_Toc232415515"/>
      <w:r w:rsidRPr="0090051E">
        <w:rPr>
          <w:b/>
          <w:color w:val="C00000"/>
        </w:rPr>
        <w:lastRenderedPageBreak/>
        <w:t>7</w:t>
      </w:r>
      <w:r w:rsidR="00FB4983" w:rsidRPr="0090051E">
        <w:rPr>
          <w:b/>
          <w:color w:val="C00000"/>
        </w:rPr>
        <w:t xml:space="preserve">.0 </w:t>
      </w:r>
      <w:r w:rsidR="0025342E" w:rsidRPr="0090051E">
        <w:rPr>
          <w:b/>
          <w:color w:val="C00000"/>
        </w:rPr>
        <w:t>Change</w:t>
      </w:r>
      <w:r w:rsidR="00BA6D3F" w:rsidRPr="0090051E">
        <w:rPr>
          <w:b/>
          <w:color w:val="C00000"/>
        </w:rPr>
        <w:t>s</w:t>
      </w:r>
      <w:r w:rsidR="0025342E" w:rsidRPr="0090051E">
        <w:rPr>
          <w:b/>
          <w:color w:val="C00000"/>
        </w:rPr>
        <w:t xml:space="preserve"> in Coverage</w:t>
      </w:r>
      <w:bookmarkEnd w:id="71"/>
    </w:p>
    <w:p w14:paraId="5549BF75" w14:textId="424BDFDE" w:rsidR="005C374C" w:rsidRPr="0090051E" w:rsidRDefault="00680F62" w:rsidP="00680F62">
      <w:pPr>
        <w:pStyle w:val="Heading2"/>
        <w:spacing w:before="0" w:after="120"/>
        <w:rPr>
          <w:i/>
          <w:color w:val="auto"/>
        </w:rPr>
      </w:pPr>
      <w:bookmarkStart w:id="72" w:name="_7.1_Open_Enrollment"/>
      <w:bookmarkStart w:id="73" w:name="_Toc232415516"/>
      <w:bookmarkEnd w:id="72"/>
      <w:r w:rsidRPr="0090051E">
        <w:rPr>
          <w:i/>
          <w:color w:val="auto"/>
        </w:rPr>
        <w:t xml:space="preserve">7.1 </w:t>
      </w:r>
      <w:r w:rsidR="005C374C" w:rsidRPr="0090051E">
        <w:rPr>
          <w:i/>
          <w:color w:val="auto"/>
        </w:rPr>
        <w:t>Open Enrollment Periods</w:t>
      </w:r>
      <w:bookmarkEnd w:id="73"/>
    </w:p>
    <w:p w14:paraId="61ECEEE3" w14:textId="5BDDC6BB" w:rsidR="005C374C" w:rsidRPr="0090051E" w:rsidRDefault="005C374C" w:rsidP="0025250C">
      <w:r w:rsidRPr="0090051E">
        <w:t xml:space="preserve">The </w:t>
      </w:r>
      <w:r w:rsidR="00E5735C" w:rsidRPr="0090051E">
        <w:t xml:space="preserve">MIT Student Health Insurance Plan </w:t>
      </w:r>
      <w:r w:rsidRPr="0090051E">
        <w:t>ha</w:t>
      </w:r>
      <w:r w:rsidR="00695BB3" w:rsidRPr="0090051E">
        <w:t>s</w:t>
      </w:r>
      <w:r w:rsidRPr="0090051E">
        <w:t xml:space="preserve"> </w:t>
      </w:r>
      <w:r w:rsidR="00695BB3" w:rsidRPr="0090051E">
        <w:t xml:space="preserve">one </w:t>
      </w:r>
      <w:r w:rsidRPr="0090051E">
        <w:t>open enrollment period during the year in which eligible students</w:t>
      </w:r>
      <w:r w:rsidR="00721C0E" w:rsidRPr="0090051E">
        <w:t>,</w:t>
      </w:r>
      <w:r w:rsidRPr="0090051E">
        <w:t xml:space="preserve"> </w:t>
      </w:r>
      <w:r w:rsidR="001A4D46" w:rsidRPr="0090051E">
        <w:t>visiting student</w:t>
      </w:r>
      <w:r w:rsidR="00881CF8" w:rsidRPr="0090051E">
        <w:t>s</w:t>
      </w:r>
      <w:r w:rsidR="00721C0E" w:rsidRPr="0090051E">
        <w:t xml:space="preserve"> and Other Eligible Individuals</w:t>
      </w:r>
      <w:r w:rsidR="001A4D46" w:rsidRPr="0090051E">
        <w:t xml:space="preserve"> </w:t>
      </w:r>
      <w:r w:rsidRPr="0090051E">
        <w:t>may enroll, cancel or make changes to their coverage without a qualifying event. The open enrollment period</w:t>
      </w:r>
      <w:r w:rsidR="00695BB3" w:rsidRPr="0090051E">
        <w:t xml:space="preserve"> runs </w:t>
      </w:r>
      <w:r w:rsidR="00531355" w:rsidRPr="0090051E">
        <w:t xml:space="preserve">from </w:t>
      </w:r>
      <w:r w:rsidRPr="0090051E">
        <w:t xml:space="preserve">July 15 through August </w:t>
      </w:r>
      <w:r w:rsidR="00517F4C" w:rsidRPr="0090051E">
        <w:t>15</w:t>
      </w:r>
      <w:r w:rsidRPr="0090051E">
        <w:t>, with changes effective September 1.</w:t>
      </w:r>
    </w:p>
    <w:p w14:paraId="55D4EC33" w14:textId="77777777" w:rsidR="005C374C" w:rsidRPr="0090051E" w:rsidRDefault="005C374C" w:rsidP="00D70042"/>
    <w:p w14:paraId="6476393E" w14:textId="6937507A" w:rsidR="00255DB6" w:rsidRPr="0090051E" w:rsidRDefault="001D7147" w:rsidP="00D70042">
      <w:pPr>
        <w:pStyle w:val="Heading2"/>
        <w:spacing w:before="0" w:after="120"/>
        <w:rPr>
          <w:i/>
          <w:color w:val="auto"/>
        </w:rPr>
      </w:pPr>
      <w:bookmarkStart w:id="74" w:name="_7.2_Qualifying_events"/>
      <w:bookmarkStart w:id="75" w:name="_Toc232415517"/>
      <w:bookmarkEnd w:id="74"/>
      <w:r w:rsidRPr="0090051E">
        <w:rPr>
          <w:i/>
          <w:color w:val="auto"/>
        </w:rPr>
        <w:t>7</w:t>
      </w:r>
      <w:r w:rsidR="0025342E" w:rsidRPr="0090051E">
        <w:rPr>
          <w:i/>
          <w:color w:val="auto"/>
        </w:rPr>
        <w:t>.</w:t>
      </w:r>
      <w:r w:rsidR="005C374C" w:rsidRPr="0090051E">
        <w:rPr>
          <w:i/>
          <w:color w:val="auto"/>
        </w:rPr>
        <w:t>2</w:t>
      </w:r>
      <w:r w:rsidR="0025342E" w:rsidRPr="0090051E">
        <w:rPr>
          <w:i/>
          <w:color w:val="auto"/>
        </w:rPr>
        <w:t xml:space="preserve"> </w:t>
      </w:r>
      <w:r w:rsidR="00255DB6" w:rsidRPr="0090051E">
        <w:rPr>
          <w:i/>
          <w:color w:val="auto"/>
        </w:rPr>
        <w:t>Qualifying events</w:t>
      </w:r>
      <w:bookmarkEnd w:id="75"/>
    </w:p>
    <w:p w14:paraId="72EAEB43" w14:textId="77777777" w:rsidR="00FC061D" w:rsidRPr="0090051E" w:rsidRDefault="00FC061D" w:rsidP="00FC061D">
      <w:r w:rsidRPr="0090051E">
        <w:t>Outside of the open enrollment period, new enrollment, changes to existing enrollment or cancelation of coverage in the MIT Student Health Insurance Plan are only allowed if a “qualifying event” occurs. Certain types of qualifying events apply to individuals who are not enrolled, while other events only apply to those who are enrolled. Any changes made to enrollment must be directly related to the qualifying event.</w:t>
      </w:r>
    </w:p>
    <w:p w14:paraId="39505DEE" w14:textId="77777777" w:rsidR="00FC061D" w:rsidRPr="0090051E" w:rsidRDefault="00FC061D" w:rsidP="00FC061D">
      <w:r w:rsidRPr="0090051E">
        <w:t>All qualifying events must be reported to the MIT Student Insurance Office and/or its vendor within thirty (30) days of the event, or sixty (60) days in the event of loss of coverage from another source, and include any documentation required (see below). The MIT Student Insurance Office and/or its vendor may, at its sole discretion, accept reports of qualifying events after the published deadlines in circumstances it deems exceptional. Any enrollments, cancelations or coverage changes will be effective per rules noted below.</w:t>
      </w:r>
    </w:p>
    <w:p w14:paraId="5B303F36" w14:textId="77777777" w:rsidR="00FC061D" w:rsidRPr="0090051E" w:rsidRDefault="00FC061D" w:rsidP="00FC061D"/>
    <w:tbl>
      <w:tblPr>
        <w:tblStyle w:val="GridTable2-Accent3"/>
        <w:tblW w:w="5000" w:type="pct"/>
        <w:tblLook w:val="04A0" w:firstRow="1" w:lastRow="0" w:firstColumn="1" w:lastColumn="0" w:noHBand="0" w:noVBand="1"/>
      </w:tblPr>
      <w:tblGrid>
        <w:gridCol w:w="2340"/>
        <w:gridCol w:w="2340"/>
        <w:gridCol w:w="2340"/>
        <w:gridCol w:w="2340"/>
      </w:tblGrid>
      <w:tr w:rsidR="00FC061D" w:rsidRPr="0090051E" w14:paraId="2E14EEE1" w14:textId="77777777" w:rsidTr="00D22D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Borders>
              <w:bottom w:val="single" w:sz="18" w:space="0" w:color="auto"/>
            </w:tcBorders>
            <w:vAlign w:val="center"/>
          </w:tcPr>
          <w:p w14:paraId="64F5ECF5" w14:textId="77777777" w:rsidR="00FC061D" w:rsidRPr="0090051E" w:rsidRDefault="00FC061D" w:rsidP="00D22D84">
            <w:pPr>
              <w:rPr>
                <w:sz w:val="20"/>
                <w:szCs w:val="20"/>
              </w:rPr>
            </w:pPr>
            <w:r w:rsidRPr="0090051E">
              <w:rPr>
                <w:sz w:val="20"/>
                <w:szCs w:val="20"/>
              </w:rPr>
              <w:t>Event</w:t>
            </w:r>
          </w:p>
        </w:tc>
        <w:tc>
          <w:tcPr>
            <w:tcW w:w="1250" w:type="pct"/>
            <w:tcBorders>
              <w:bottom w:val="single" w:sz="18" w:space="0" w:color="auto"/>
            </w:tcBorders>
            <w:vAlign w:val="center"/>
          </w:tcPr>
          <w:p w14:paraId="499053E3" w14:textId="77777777" w:rsidR="00FC061D" w:rsidRPr="0090051E" w:rsidRDefault="00FC061D" w:rsidP="00D22D84">
            <w:pPr>
              <w:cnfStyle w:val="100000000000" w:firstRow="1" w:lastRow="0" w:firstColumn="0" w:lastColumn="0" w:oddVBand="0" w:evenVBand="0" w:oddHBand="0" w:evenHBand="0" w:firstRowFirstColumn="0" w:firstRowLastColumn="0" w:lastRowFirstColumn="0" w:lastRowLastColumn="0"/>
              <w:rPr>
                <w:sz w:val="20"/>
                <w:szCs w:val="20"/>
              </w:rPr>
            </w:pPr>
            <w:r w:rsidRPr="0090051E">
              <w:rPr>
                <w:sz w:val="20"/>
                <w:szCs w:val="20"/>
              </w:rPr>
              <w:t>Allowable Coverage Changes</w:t>
            </w:r>
          </w:p>
        </w:tc>
        <w:tc>
          <w:tcPr>
            <w:tcW w:w="1250" w:type="pct"/>
            <w:tcBorders>
              <w:bottom w:val="single" w:sz="18" w:space="0" w:color="auto"/>
            </w:tcBorders>
            <w:vAlign w:val="center"/>
          </w:tcPr>
          <w:p w14:paraId="40EEFFFC" w14:textId="77777777" w:rsidR="00FC061D" w:rsidRPr="0090051E" w:rsidRDefault="00FC061D" w:rsidP="00D22D84">
            <w:pPr>
              <w:cnfStyle w:val="100000000000" w:firstRow="1" w:lastRow="0" w:firstColumn="0" w:lastColumn="0" w:oddVBand="0" w:evenVBand="0" w:oddHBand="0" w:evenHBand="0" w:firstRowFirstColumn="0" w:firstRowLastColumn="0" w:lastRowFirstColumn="0" w:lastRowLastColumn="0"/>
              <w:rPr>
                <w:sz w:val="20"/>
                <w:szCs w:val="20"/>
              </w:rPr>
            </w:pPr>
            <w:r w:rsidRPr="0090051E">
              <w:rPr>
                <w:sz w:val="20"/>
                <w:szCs w:val="20"/>
              </w:rPr>
              <w:t>Required Documentation</w:t>
            </w:r>
          </w:p>
        </w:tc>
        <w:tc>
          <w:tcPr>
            <w:tcW w:w="1250" w:type="pct"/>
            <w:tcBorders>
              <w:bottom w:val="single" w:sz="18" w:space="0" w:color="auto"/>
            </w:tcBorders>
            <w:vAlign w:val="center"/>
          </w:tcPr>
          <w:p w14:paraId="2BDF3C31" w14:textId="77777777" w:rsidR="00FC061D" w:rsidRPr="0090051E" w:rsidRDefault="00FC061D" w:rsidP="00D22D84">
            <w:pPr>
              <w:cnfStyle w:val="100000000000" w:firstRow="1" w:lastRow="0" w:firstColumn="0" w:lastColumn="0" w:oddVBand="0" w:evenVBand="0" w:oddHBand="0" w:evenHBand="0" w:firstRowFirstColumn="0" w:firstRowLastColumn="0" w:lastRowFirstColumn="0" w:lastRowLastColumn="0"/>
              <w:rPr>
                <w:sz w:val="20"/>
                <w:szCs w:val="20"/>
              </w:rPr>
            </w:pPr>
            <w:r w:rsidRPr="0090051E">
              <w:rPr>
                <w:sz w:val="20"/>
                <w:szCs w:val="20"/>
              </w:rPr>
              <w:t>Effective Date</w:t>
            </w:r>
          </w:p>
        </w:tc>
      </w:tr>
      <w:tr w:rsidR="00FC061D" w:rsidRPr="0090051E" w14:paraId="79312EE8" w14:textId="77777777" w:rsidTr="00D22D84">
        <w:trPr>
          <w:cnfStyle w:val="000000100000" w:firstRow="0" w:lastRow="0" w:firstColumn="0" w:lastColumn="0" w:oddVBand="0" w:evenVBand="0" w:oddHBand="1" w:evenHBand="0" w:firstRowFirstColumn="0" w:firstRowLastColumn="0" w:lastRowFirstColumn="0" w:lastRowLastColumn="0"/>
          <w:trHeight w:val="746"/>
        </w:trPr>
        <w:tc>
          <w:tcPr>
            <w:cnfStyle w:val="001000000000" w:firstRow="0" w:lastRow="0" w:firstColumn="1" w:lastColumn="0" w:oddVBand="0" w:evenVBand="0" w:oddHBand="0" w:evenHBand="0" w:firstRowFirstColumn="0" w:firstRowLastColumn="0" w:lastRowFirstColumn="0" w:lastRowLastColumn="0"/>
            <w:tcW w:w="1250" w:type="pct"/>
            <w:tcBorders>
              <w:top w:val="single" w:sz="18" w:space="0" w:color="auto"/>
            </w:tcBorders>
          </w:tcPr>
          <w:p w14:paraId="741D07B9" w14:textId="77777777" w:rsidR="00FC061D" w:rsidRPr="0090051E" w:rsidRDefault="00FC061D" w:rsidP="00D22D84">
            <w:pPr>
              <w:rPr>
                <w:sz w:val="20"/>
                <w:szCs w:val="20"/>
              </w:rPr>
            </w:pPr>
            <w:r w:rsidRPr="0090051E">
              <w:rPr>
                <w:sz w:val="20"/>
                <w:szCs w:val="20"/>
              </w:rPr>
              <w:t>Marriage</w:t>
            </w:r>
          </w:p>
        </w:tc>
        <w:tc>
          <w:tcPr>
            <w:tcW w:w="1250" w:type="pct"/>
            <w:tcBorders>
              <w:top w:val="single" w:sz="18" w:space="0" w:color="auto"/>
            </w:tcBorders>
          </w:tcPr>
          <w:p w14:paraId="18BE4A2E" w14:textId="77777777" w:rsidR="00FC061D" w:rsidRPr="0090051E" w:rsidRDefault="00FC061D" w:rsidP="00D22D84">
            <w:pPr>
              <w:cnfStyle w:val="000000100000" w:firstRow="0" w:lastRow="0" w:firstColumn="0" w:lastColumn="0" w:oddVBand="0" w:evenVBand="0" w:oddHBand="1" w:evenHBand="0" w:firstRowFirstColumn="0" w:firstRowLastColumn="0" w:lastRowFirstColumn="0" w:lastRowLastColumn="0"/>
              <w:rPr>
                <w:sz w:val="20"/>
                <w:szCs w:val="20"/>
              </w:rPr>
            </w:pPr>
            <w:r w:rsidRPr="0090051E">
              <w:rPr>
                <w:sz w:val="20"/>
                <w:szCs w:val="20"/>
              </w:rPr>
              <w:t>May add coverage for spouse and child(ren) of spouse</w:t>
            </w:r>
          </w:p>
        </w:tc>
        <w:tc>
          <w:tcPr>
            <w:tcW w:w="1250" w:type="pct"/>
            <w:tcBorders>
              <w:top w:val="single" w:sz="18" w:space="0" w:color="auto"/>
            </w:tcBorders>
          </w:tcPr>
          <w:p w14:paraId="573097DB" w14:textId="77777777" w:rsidR="00FC061D" w:rsidRPr="0090051E" w:rsidRDefault="00FC061D" w:rsidP="00D22D84">
            <w:pPr>
              <w:pStyle w:val="ListParagraph"/>
              <w:numPr>
                <w:ilvl w:val="0"/>
                <w:numId w:val="9"/>
              </w:numPr>
              <w:ind w:left="144" w:hanging="144"/>
              <w:cnfStyle w:val="000000100000" w:firstRow="0" w:lastRow="0" w:firstColumn="0" w:lastColumn="0" w:oddVBand="0" w:evenVBand="0" w:oddHBand="1" w:evenHBand="0" w:firstRowFirstColumn="0" w:firstRowLastColumn="0" w:lastRowFirstColumn="0" w:lastRowLastColumn="0"/>
              <w:rPr>
                <w:sz w:val="20"/>
                <w:szCs w:val="20"/>
              </w:rPr>
            </w:pPr>
            <w:r w:rsidRPr="0090051E">
              <w:rPr>
                <w:sz w:val="20"/>
                <w:szCs w:val="20"/>
              </w:rPr>
              <w:t>Marriage certificate; or</w:t>
            </w:r>
          </w:p>
          <w:p w14:paraId="7E3EA1E5" w14:textId="77777777" w:rsidR="00FC061D" w:rsidRPr="0090051E" w:rsidRDefault="00FC061D" w:rsidP="00D22D84">
            <w:pPr>
              <w:pStyle w:val="ListParagraph"/>
              <w:numPr>
                <w:ilvl w:val="0"/>
                <w:numId w:val="9"/>
              </w:numPr>
              <w:ind w:left="144" w:hanging="144"/>
              <w:cnfStyle w:val="000000100000" w:firstRow="0" w:lastRow="0" w:firstColumn="0" w:lastColumn="0" w:oddVBand="0" w:evenVBand="0" w:oddHBand="1" w:evenHBand="0" w:firstRowFirstColumn="0" w:firstRowLastColumn="0" w:lastRowFirstColumn="0" w:lastRowLastColumn="0"/>
              <w:rPr>
                <w:sz w:val="20"/>
                <w:szCs w:val="20"/>
              </w:rPr>
            </w:pPr>
            <w:r w:rsidRPr="0090051E">
              <w:rPr>
                <w:sz w:val="20"/>
                <w:szCs w:val="20"/>
              </w:rPr>
              <w:t>I-20 form (international students only)</w:t>
            </w:r>
          </w:p>
        </w:tc>
        <w:tc>
          <w:tcPr>
            <w:tcW w:w="1250" w:type="pct"/>
            <w:tcBorders>
              <w:top w:val="single" w:sz="18" w:space="0" w:color="auto"/>
            </w:tcBorders>
          </w:tcPr>
          <w:p w14:paraId="43D5B944" w14:textId="77777777" w:rsidR="00FC061D" w:rsidRPr="0090051E" w:rsidRDefault="00FC061D" w:rsidP="00D22D84">
            <w:pPr>
              <w:cnfStyle w:val="000000100000" w:firstRow="0" w:lastRow="0" w:firstColumn="0" w:lastColumn="0" w:oddVBand="0" w:evenVBand="0" w:oddHBand="1" w:evenHBand="0" w:firstRowFirstColumn="0" w:firstRowLastColumn="0" w:lastRowFirstColumn="0" w:lastRowLastColumn="0"/>
              <w:rPr>
                <w:sz w:val="20"/>
                <w:szCs w:val="20"/>
              </w:rPr>
            </w:pPr>
            <w:r w:rsidRPr="0090051E">
              <w:rPr>
                <w:sz w:val="20"/>
                <w:szCs w:val="20"/>
              </w:rPr>
              <w:t>First day of the of month following the date of marriage</w:t>
            </w:r>
          </w:p>
        </w:tc>
      </w:tr>
      <w:tr w:rsidR="00FC061D" w:rsidRPr="0090051E" w14:paraId="5BB04159" w14:textId="77777777" w:rsidTr="00D22D84">
        <w:trPr>
          <w:trHeight w:val="746"/>
        </w:trPr>
        <w:tc>
          <w:tcPr>
            <w:cnfStyle w:val="001000000000" w:firstRow="0" w:lastRow="0" w:firstColumn="1" w:lastColumn="0" w:oddVBand="0" w:evenVBand="0" w:oddHBand="0" w:evenHBand="0" w:firstRowFirstColumn="0" w:firstRowLastColumn="0" w:lastRowFirstColumn="0" w:lastRowLastColumn="0"/>
            <w:tcW w:w="1250" w:type="pct"/>
          </w:tcPr>
          <w:p w14:paraId="6EE165E0" w14:textId="77777777" w:rsidR="00FC061D" w:rsidRPr="0090051E" w:rsidRDefault="00FC061D" w:rsidP="00D22D84">
            <w:pPr>
              <w:rPr>
                <w:sz w:val="20"/>
                <w:szCs w:val="20"/>
              </w:rPr>
            </w:pPr>
            <w:r w:rsidRPr="0090051E">
              <w:rPr>
                <w:sz w:val="20"/>
                <w:szCs w:val="20"/>
              </w:rPr>
              <w:t>New domestic partner/spousal equivalent</w:t>
            </w:r>
          </w:p>
        </w:tc>
        <w:tc>
          <w:tcPr>
            <w:tcW w:w="1250" w:type="pct"/>
          </w:tcPr>
          <w:p w14:paraId="580E3C48" w14:textId="77777777" w:rsidR="00FC061D" w:rsidRPr="0090051E" w:rsidRDefault="00FC061D" w:rsidP="00D22D84">
            <w:pPr>
              <w:cnfStyle w:val="000000000000" w:firstRow="0" w:lastRow="0" w:firstColumn="0" w:lastColumn="0" w:oddVBand="0" w:evenVBand="0" w:oddHBand="0" w:evenHBand="0" w:firstRowFirstColumn="0" w:firstRowLastColumn="0" w:lastRowFirstColumn="0" w:lastRowLastColumn="0"/>
              <w:rPr>
                <w:sz w:val="20"/>
                <w:szCs w:val="20"/>
              </w:rPr>
            </w:pPr>
            <w:r w:rsidRPr="0090051E">
              <w:rPr>
                <w:sz w:val="20"/>
                <w:szCs w:val="20"/>
              </w:rPr>
              <w:t>May add coverage for domestic partner/spousal equivalent and child(ren) of domestic partner/ spousal equivalent</w:t>
            </w:r>
          </w:p>
        </w:tc>
        <w:tc>
          <w:tcPr>
            <w:tcW w:w="1250" w:type="pct"/>
          </w:tcPr>
          <w:p w14:paraId="352B8460" w14:textId="77777777" w:rsidR="00FC061D" w:rsidRPr="0090051E" w:rsidRDefault="00FC061D" w:rsidP="00D22D84">
            <w:pPr>
              <w:cnfStyle w:val="000000000000" w:firstRow="0" w:lastRow="0" w:firstColumn="0" w:lastColumn="0" w:oddVBand="0" w:evenVBand="0" w:oddHBand="0" w:evenHBand="0" w:firstRowFirstColumn="0" w:firstRowLastColumn="0" w:lastRowFirstColumn="0" w:lastRowLastColumn="0"/>
              <w:rPr>
                <w:sz w:val="20"/>
                <w:szCs w:val="20"/>
              </w:rPr>
            </w:pPr>
            <w:r w:rsidRPr="0090051E">
              <w:rPr>
                <w:sz w:val="20"/>
                <w:szCs w:val="20"/>
              </w:rPr>
              <w:t>Affidavit of Spousal Equivalent Partnership</w:t>
            </w:r>
          </w:p>
        </w:tc>
        <w:tc>
          <w:tcPr>
            <w:tcW w:w="1250" w:type="pct"/>
          </w:tcPr>
          <w:p w14:paraId="61823821" w14:textId="77777777" w:rsidR="00FC061D" w:rsidRPr="0090051E" w:rsidRDefault="00FC061D" w:rsidP="00D22D84">
            <w:pPr>
              <w:cnfStyle w:val="000000000000" w:firstRow="0" w:lastRow="0" w:firstColumn="0" w:lastColumn="0" w:oddVBand="0" w:evenVBand="0" w:oddHBand="0" w:evenHBand="0" w:firstRowFirstColumn="0" w:firstRowLastColumn="0" w:lastRowFirstColumn="0" w:lastRowLastColumn="0"/>
              <w:rPr>
                <w:sz w:val="20"/>
                <w:szCs w:val="20"/>
              </w:rPr>
            </w:pPr>
            <w:r w:rsidRPr="0090051E">
              <w:rPr>
                <w:sz w:val="20"/>
                <w:szCs w:val="20"/>
              </w:rPr>
              <w:t>First day of the of month following notification</w:t>
            </w:r>
          </w:p>
        </w:tc>
      </w:tr>
      <w:tr w:rsidR="00FC061D" w:rsidRPr="0090051E" w14:paraId="383684CE" w14:textId="77777777" w:rsidTr="00D22D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13C7DABC" w14:textId="77777777" w:rsidR="00FC061D" w:rsidRPr="0090051E" w:rsidRDefault="00FC061D" w:rsidP="00D22D84">
            <w:pPr>
              <w:rPr>
                <w:sz w:val="20"/>
                <w:szCs w:val="20"/>
              </w:rPr>
            </w:pPr>
            <w:r w:rsidRPr="0090051E">
              <w:rPr>
                <w:sz w:val="20"/>
                <w:szCs w:val="20"/>
              </w:rPr>
              <w:t>Birth of a child(ren)</w:t>
            </w:r>
          </w:p>
        </w:tc>
        <w:tc>
          <w:tcPr>
            <w:tcW w:w="1250" w:type="pct"/>
          </w:tcPr>
          <w:p w14:paraId="751F2B3F" w14:textId="77777777" w:rsidR="00FC061D" w:rsidRPr="0090051E" w:rsidRDefault="00FC061D" w:rsidP="00D22D84">
            <w:pPr>
              <w:cnfStyle w:val="000000100000" w:firstRow="0" w:lastRow="0" w:firstColumn="0" w:lastColumn="0" w:oddVBand="0" w:evenVBand="0" w:oddHBand="1" w:evenHBand="0" w:firstRowFirstColumn="0" w:firstRowLastColumn="0" w:lastRowFirstColumn="0" w:lastRowLastColumn="0"/>
              <w:rPr>
                <w:sz w:val="20"/>
                <w:szCs w:val="20"/>
              </w:rPr>
            </w:pPr>
            <w:r w:rsidRPr="0090051E">
              <w:rPr>
                <w:sz w:val="20"/>
                <w:szCs w:val="20"/>
              </w:rPr>
              <w:t>May add coverage for child(ren)</w:t>
            </w:r>
          </w:p>
        </w:tc>
        <w:tc>
          <w:tcPr>
            <w:tcW w:w="1250" w:type="pct"/>
          </w:tcPr>
          <w:p w14:paraId="47CAFEA1" w14:textId="77777777" w:rsidR="00FC061D" w:rsidRPr="0090051E" w:rsidRDefault="00FC061D" w:rsidP="00D22D84">
            <w:pPr>
              <w:pStyle w:val="ListParagraph"/>
              <w:numPr>
                <w:ilvl w:val="0"/>
                <w:numId w:val="9"/>
              </w:numPr>
              <w:ind w:left="144" w:hanging="144"/>
              <w:cnfStyle w:val="000000100000" w:firstRow="0" w:lastRow="0" w:firstColumn="0" w:lastColumn="0" w:oddVBand="0" w:evenVBand="0" w:oddHBand="1" w:evenHBand="0" w:firstRowFirstColumn="0" w:firstRowLastColumn="0" w:lastRowFirstColumn="0" w:lastRowLastColumn="0"/>
              <w:rPr>
                <w:sz w:val="20"/>
                <w:szCs w:val="20"/>
              </w:rPr>
            </w:pPr>
            <w:r w:rsidRPr="0090051E">
              <w:rPr>
                <w:sz w:val="20"/>
                <w:szCs w:val="20"/>
              </w:rPr>
              <w:t>Birth certificate; or</w:t>
            </w:r>
          </w:p>
          <w:p w14:paraId="51975229" w14:textId="77777777" w:rsidR="00FC061D" w:rsidRPr="0090051E" w:rsidRDefault="00FC061D" w:rsidP="00D22D84">
            <w:pPr>
              <w:pStyle w:val="ListParagraph"/>
              <w:numPr>
                <w:ilvl w:val="0"/>
                <w:numId w:val="9"/>
              </w:numPr>
              <w:ind w:left="144" w:hanging="144"/>
              <w:cnfStyle w:val="000000100000" w:firstRow="0" w:lastRow="0" w:firstColumn="0" w:lastColumn="0" w:oddVBand="0" w:evenVBand="0" w:oddHBand="1" w:evenHBand="0" w:firstRowFirstColumn="0" w:firstRowLastColumn="0" w:lastRowFirstColumn="0" w:lastRowLastColumn="0"/>
              <w:rPr>
                <w:sz w:val="20"/>
                <w:szCs w:val="20"/>
              </w:rPr>
            </w:pPr>
            <w:r w:rsidRPr="0090051E">
              <w:rPr>
                <w:sz w:val="20"/>
                <w:szCs w:val="20"/>
              </w:rPr>
              <w:t>Birth announcement letter from hospital where child was born</w:t>
            </w:r>
          </w:p>
        </w:tc>
        <w:tc>
          <w:tcPr>
            <w:tcW w:w="1250" w:type="pct"/>
          </w:tcPr>
          <w:p w14:paraId="3537C969" w14:textId="77777777" w:rsidR="00FC061D" w:rsidRPr="0090051E" w:rsidRDefault="00FC061D" w:rsidP="00D22D84">
            <w:pPr>
              <w:cnfStyle w:val="000000100000" w:firstRow="0" w:lastRow="0" w:firstColumn="0" w:lastColumn="0" w:oddVBand="0" w:evenVBand="0" w:oddHBand="1" w:evenHBand="0" w:firstRowFirstColumn="0" w:firstRowLastColumn="0" w:lastRowFirstColumn="0" w:lastRowLastColumn="0"/>
              <w:rPr>
                <w:sz w:val="20"/>
                <w:szCs w:val="20"/>
              </w:rPr>
            </w:pPr>
            <w:r w:rsidRPr="0090051E">
              <w:rPr>
                <w:sz w:val="20"/>
                <w:szCs w:val="20"/>
              </w:rPr>
              <w:t>Date of birth of child(ren)</w:t>
            </w:r>
          </w:p>
        </w:tc>
      </w:tr>
      <w:tr w:rsidR="00FC061D" w:rsidRPr="0090051E" w14:paraId="1EC523FF" w14:textId="77777777" w:rsidTr="00D22D84">
        <w:tc>
          <w:tcPr>
            <w:cnfStyle w:val="001000000000" w:firstRow="0" w:lastRow="0" w:firstColumn="1" w:lastColumn="0" w:oddVBand="0" w:evenVBand="0" w:oddHBand="0" w:evenHBand="0" w:firstRowFirstColumn="0" w:firstRowLastColumn="0" w:lastRowFirstColumn="0" w:lastRowLastColumn="0"/>
            <w:tcW w:w="1250" w:type="pct"/>
          </w:tcPr>
          <w:p w14:paraId="1E91AD80" w14:textId="77777777" w:rsidR="00FC061D" w:rsidRPr="0090051E" w:rsidRDefault="00FC061D" w:rsidP="00D22D84">
            <w:pPr>
              <w:rPr>
                <w:sz w:val="20"/>
                <w:szCs w:val="20"/>
              </w:rPr>
            </w:pPr>
            <w:r w:rsidRPr="0090051E">
              <w:rPr>
                <w:sz w:val="20"/>
                <w:szCs w:val="20"/>
              </w:rPr>
              <w:t>Adoption, or placement for adoption or foster care, of a child(ren)</w:t>
            </w:r>
          </w:p>
        </w:tc>
        <w:tc>
          <w:tcPr>
            <w:tcW w:w="1250" w:type="pct"/>
          </w:tcPr>
          <w:p w14:paraId="55B9D919" w14:textId="77777777" w:rsidR="00FC061D" w:rsidRPr="0090051E" w:rsidRDefault="00FC061D" w:rsidP="00D22D84">
            <w:pPr>
              <w:cnfStyle w:val="000000000000" w:firstRow="0" w:lastRow="0" w:firstColumn="0" w:lastColumn="0" w:oddVBand="0" w:evenVBand="0" w:oddHBand="0" w:evenHBand="0" w:firstRowFirstColumn="0" w:firstRowLastColumn="0" w:lastRowFirstColumn="0" w:lastRowLastColumn="0"/>
              <w:rPr>
                <w:sz w:val="20"/>
                <w:szCs w:val="20"/>
              </w:rPr>
            </w:pPr>
            <w:r w:rsidRPr="0090051E">
              <w:rPr>
                <w:sz w:val="20"/>
                <w:szCs w:val="20"/>
              </w:rPr>
              <w:t>May add coverage for child(ren)</w:t>
            </w:r>
          </w:p>
        </w:tc>
        <w:tc>
          <w:tcPr>
            <w:tcW w:w="1250" w:type="pct"/>
          </w:tcPr>
          <w:p w14:paraId="55CA6681" w14:textId="77777777" w:rsidR="00FC061D" w:rsidRPr="0090051E" w:rsidRDefault="00FC061D" w:rsidP="00D22D84">
            <w:pPr>
              <w:cnfStyle w:val="000000000000" w:firstRow="0" w:lastRow="0" w:firstColumn="0" w:lastColumn="0" w:oddVBand="0" w:evenVBand="0" w:oddHBand="0" w:evenHBand="0" w:firstRowFirstColumn="0" w:firstRowLastColumn="0" w:lastRowFirstColumn="0" w:lastRowLastColumn="0"/>
              <w:rPr>
                <w:sz w:val="20"/>
                <w:szCs w:val="20"/>
              </w:rPr>
            </w:pPr>
            <w:r w:rsidRPr="0090051E">
              <w:rPr>
                <w:sz w:val="20"/>
                <w:szCs w:val="20"/>
              </w:rPr>
              <w:t>Adoption certificate or foster care order</w:t>
            </w:r>
          </w:p>
        </w:tc>
        <w:tc>
          <w:tcPr>
            <w:tcW w:w="1250" w:type="pct"/>
          </w:tcPr>
          <w:p w14:paraId="50CB3535" w14:textId="77777777" w:rsidR="00FC061D" w:rsidRPr="0090051E" w:rsidRDefault="00FC061D" w:rsidP="00D22D84">
            <w:pPr>
              <w:cnfStyle w:val="000000000000" w:firstRow="0" w:lastRow="0" w:firstColumn="0" w:lastColumn="0" w:oddVBand="0" w:evenVBand="0" w:oddHBand="0" w:evenHBand="0" w:firstRowFirstColumn="0" w:firstRowLastColumn="0" w:lastRowFirstColumn="0" w:lastRowLastColumn="0"/>
              <w:rPr>
                <w:sz w:val="20"/>
                <w:szCs w:val="20"/>
              </w:rPr>
            </w:pPr>
            <w:r w:rsidRPr="0090051E">
              <w:rPr>
                <w:sz w:val="20"/>
                <w:szCs w:val="20"/>
              </w:rPr>
              <w:t xml:space="preserve">Date of adoption or placement for adoption/foster care </w:t>
            </w:r>
          </w:p>
        </w:tc>
      </w:tr>
      <w:tr w:rsidR="00FC061D" w:rsidRPr="0090051E" w14:paraId="16672661" w14:textId="77777777" w:rsidTr="00D22D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0C02BD24" w14:textId="77777777" w:rsidR="00FC061D" w:rsidRPr="0090051E" w:rsidRDefault="00FC061D" w:rsidP="00D22D84">
            <w:pPr>
              <w:rPr>
                <w:sz w:val="20"/>
                <w:szCs w:val="20"/>
              </w:rPr>
            </w:pPr>
            <w:r w:rsidRPr="0090051E">
              <w:rPr>
                <w:sz w:val="20"/>
                <w:szCs w:val="20"/>
              </w:rPr>
              <w:t>Court-ordered care or legal guardianship of a child(ren)</w:t>
            </w:r>
          </w:p>
        </w:tc>
        <w:tc>
          <w:tcPr>
            <w:tcW w:w="1250" w:type="pct"/>
          </w:tcPr>
          <w:p w14:paraId="601EB6D6" w14:textId="77777777" w:rsidR="00FC061D" w:rsidRPr="0090051E" w:rsidRDefault="00FC061D" w:rsidP="00D22D84">
            <w:pPr>
              <w:cnfStyle w:val="000000100000" w:firstRow="0" w:lastRow="0" w:firstColumn="0" w:lastColumn="0" w:oddVBand="0" w:evenVBand="0" w:oddHBand="1" w:evenHBand="0" w:firstRowFirstColumn="0" w:firstRowLastColumn="0" w:lastRowFirstColumn="0" w:lastRowLastColumn="0"/>
              <w:rPr>
                <w:sz w:val="20"/>
                <w:szCs w:val="20"/>
              </w:rPr>
            </w:pPr>
            <w:r w:rsidRPr="0090051E">
              <w:rPr>
                <w:sz w:val="20"/>
                <w:szCs w:val="20"/>
              </w:rPr>
              <w:t>May add coverage for child(ren)</w:t>
            </w:r>
          </w:p>
        </w:tc>
        <w:tc>
          <w:tcPr>
            <w:tcW w:w="1250" w:type="pct"/>
          </w:tcPr>
          <w:p w14:paraId="155928C1" w14:textId="77777777" w:rsidR="00FC061D" w:rsidRPr="0090051E" w:rsidRDefault="00FC061D" w:rsidP="00D22D84">
            <w:pPr>
              <w:cnfStyle w:val="000000100000" w:firstRow="0" w:lastRow="0" w:firstColumn="0" w:lastColumn="0" w:oddVBand="0" w:evenVBand="0" w:oddHBand="1" w:evenHBand="0" w:firstRowFirstColumn="0" w:firstRowLastColumn="0" w:lastRowFirstColumn="0" w:lastRowLastColumn="0"/>
              <w:rPr>
                <w:sz w:val="20"/>
                <w:szCs w:val="20"/>
              </w:rPr>
            </w:pPr>
            <w:r w:rsidRPr="0090051E">
              <w:rPr>
                <w:sz w:val="20"/>
                <w:szCs w:val="20"/>
              </w:rPr>
              <w:t>Court order/proof of legal guardianship</w:t>
            </w:r>
          </w:p>
        </w:tc>
        <w:tc>
          <w:tcPr>
            <w:tcW w:w="1250" w:type="pct"/>
          </w:tcPr>
          <w:p w14:paraId="187D3501" w14:textId="77777777" w:rsidR="00FC061D" w:rsidRPr="0090051E" w:rsidRDefault="00FC061D" w:rsidP="00D22D84">
            <w:pPr>
              <w:cnfStyle w:val="000000100000" w:firstRow="0" w:lastRow="0" w:firstColumn="0" w:lastColumn="0" w:oddVBand="0" w:evenVBand="0" w:oddHBand="1" w:evenHBand="0" w:firstRowFirstColumn="0" w:firstRowLastColumn="0" w:lastRowFirstColumn="0" w:lastRowLastColumn="0"/>
              <w:rPr>
                <w:sz w:val="20"/>
                <w:szCs w:val="20"/>
              </w:rPr>
            </w:pPr>
            <w:r w:rsidRPr="0090051E">
              <w:rPr>
                <w:sz w:val="20"/>
                <w:szCs w:val="20"/>
              </w:rPr>
              <w:t>Effective date of court or legal guardianship</w:t>
            </w:r>
          </w:p>
        </w:tc>
      </w:tr>
      <w:tr w:rsidR="00FC061D" w:rsidRPr="0090051E" w14:paraId="352BF1A5" w14:textId="77777777" w:rsidTr="00D22D84">
        <w:tc>
          <w:tcPr>
            <w:cnfStyle w:val="001000000000" w:firstRow="0" w:lastRow="0" w:firstColumn="1" w:lastColumn="0" w:oddVBand="0" w:evenVBand="0" w:oddHBand="0" w:evenHBand="0" w:firstRowFirstColumn="0" w:firstRowLastColumn="0" w:lastRowFirstColumn="0" w:lastRowLastColumn="0"/>
            <w:tcW w:w="1250" w:type="pct"/>
          </w:tcPr>
          <w:p w14:paraId="0E3827DD" w14:textId="77777777" w:rsidR="00FC061D" w:rsidRPr="0090051E" w:rsidRDefault="00FC061D" w:rsidP="00D22D84">
            <w:pPr>
              <w:rPr>
                <w:sz w:val="20"/>
                <w:szCs w:val="20"/>
              </w:rPr>
            </w:pPr>
            <w:r w:rsidRPr="0090051E">
              <w:rPr>
                <w:sz w:val="20"/>
                <w:szCs w:val="20"/>
              </w:rPr>
              <w:lastRenderedPageBreak/>
              <w:t>Arrival of spouse and/or child(ren) from another country for the first time</w:t>
            </w:r>
            <w:r w:rsidRPr="0090051E">
              <w:rPr>
                <w:rStyle w:val="FootnoteReference"/>
                <w:sz w:val="20"/>
                <w:szCs w:val="20"/>
              </w:rPr>
              <w:footnoteReference w:id="5"/>
            </w:r>
          </w:p>
        </w:tc>
        <w:tc>
          <w:tcPr>
            <w:tcW w:w="1250" w:type="pct"/>
          </w:tcPr>
          <w:p w14:paraId="1B5E0DD9" w14:textId="77777777" w:rsidR="00FC061D" w:rsidRPr="0090051E" w:rsidRDefault="00FC061D" w:rsidP="00D22D84">
            <w:pPr>
              <w:cnfStyle w:val="000000000000" w:firstRow="0" w:lastRow="0" w:firstColumn="0" w:lastColumn="0" w:oddVBand="0" w:evenVBand="0" w:oddHBand="0" w:evenHBand="0" w:firstRowFirstColumn="0" w:firstRowLastColumn="0" w:lastRowFirstColumn="0" w:lastRowLastColumn="0"/>
              <w:rPr>
                <w:sz w:val="20"/>
                <w:szCs w:val="20"/>
              </w:rPr>
            </w:pPr>
            <w:r w:rsidRPr="0090051E">
              <w:rPr>
                <w:sz w:val="20"/>
                <w:szCs w:val="20"/>
              </w:rPr>
              <w:t>May add coverage for spouse and child(ren)</w:t>
            </w:r>
          </w:p>
        </w:tc>
        <w:tc>
          <w:tcPr>
            <w:tcW w:w="1250" w:type="pct"/>
          </w:tcPr>
          <w:p w14:paraId="0245F908" w14:textId="77777777" w:rsidR="00FC061D" w:rsidRPr="0090051E" w:rsidRDefault="00FC061D" w:rsidP="00D22D84">
            <w:pPr>
              <w:cnfStyle w:val="000000000000" w:firstRow="0" w:lastRow="0" w:firstColumn="0" w:lastColumn="0" w:oddVBand="0" w:evenVBand="0" w:oddHBand="0" w:evenHBand="0" w:firstRowFirstColumn="0" w:firstRowLastColumn="0" w:lastRowFirstColumn="0" w:lastRowLastColumn="0"/>
              <w:rPr>
                <w:sz w:val="20"/>
                <w:szCs w:val="20"/>
              </w:rPr>
            </w:pPr>
            <w:r w:rsidRPr="0090051E">
              <w:rPr>
                <w:sz w:val="20"/>
                <w:szCs w:val="20"/>
              </w:rPr>
              <w:t>Attestation of International Arrival/ Departure</w:t>
            </w:r>
          </w:p>
        </w:tc>
        <w:tc>
          <w:tcPr>
            <w:tcW w:w="1250" w:type="pct"/>
          </w:tcPr>
          <w:p w14:paraId="516F480D" w14:textId="77777777" w:rsidR="00FC061D" w:rsidRPr="0090051E" w:rsidRDefault="00FC061D" w:rsidP="00D22D84">
            <w:pPr>
              <w:cnfStyle w:val="000000000000" w:firstRow="0" w:lastRow="0" w:firstColumn="0" w:lastColumn="0" w:oddVBand="0" w:evenVBand="0" w:oddHBand="0" w:evenHBand="0" w:firstRowFirstColumn="0" w:firstRowLastColumn="0" w:lastRowFirstColumn="0" w:lastRowLastColumn="0"/>
              <w:rPr>
                <w:sz w:val="20"/>
                <w:szCs w:val="20"/>
              </w:rPr>
            </w:pPr>
            <w:r w:rsidRPr="0090051E">
              <w:rPr>
                <w:sz w:val="20"/>
                <w:szCs w:val="20"/>
              </w:rPr>
              <w:t>First day of the of month following the date of arrival</w:t>
            </w:r>
          </w:p>
        </w:tc>
      </w:tr>
      <w:tr w:rsidR="0009408A" w:rsidRPr="0090051E" w14:paraId="2D8F6C5D" w14:textId="77777777" w:rsidTr="00D22D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302231E0" w14:textId="7D38033F" w:rsidR="0009408A" w:rsidRPr="0090051E" w:rsidRDefault="00D675D4" w:rsidP="00D22D84">
            <w:pPr>
              <w:rPr>
                <w:sz w:val="20"/>
                <w:szCs w:val="20"/>
              </w:rPr>
            </w:pPr>
            <w:r>
              <w:rPr>
                <w:sz w:val="20"/>
                <w:szCs w:val="20"/>
              </w:rPr>
              <w:t>Permanent departure of spouse and/or child(ren) to another country</w:t>
            </w:r>
          </w:p>
        </w:tc>
        <w:tc>
          <w:tcPr>
            <w:tcW w:w="1250" w:type="pct"/>
          </w:tcPr>
          <w:p w14:paraId="2AE0264F" w14:textId="0DD974AF" w:rsidR="0009408A" w:rsidRPr="0090051E" w:rsidRDefault="00D675D4" w:rsidP="00D22D8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May terminate coverage for spouse and child(ren)</w:t>
            </w:r>
          </w:p>
        </w:tc>
        <w:tc>
          <w:tcPr>
            <w:tcW w:w="1250" w:type="pct"/>
          </w:tcPr>
          <w:p w14:paraId="742A668F" w14:textId="6EF2EC70" w:rsidR="0009408A" w:rsidRPr="0090051E" w:rsidRDefault="00D675D4" w:rsidP="00D22D84">
            <w:pPr>
              <w:cnfStyle w:val="000000100000" w:firstRow="0" w:lastRow="0" w:firstColumn="0" w:lastColumn="0" w:oddVBand="0" w:evenVBand="0" w:oddHBand="1" w:evenHBand="0" w:firstRowFirstColumn="0" w:firstRowLastColumn="0" w:lastRowFirstColumn="0" w:lastRowLastColumn="0"/>
              <w:rPr>
                <w:sz w:val="20"/>
                <w:szCs w:val="20"/>
              </w:rPr>
            </w:pPr>
            <w:r w:rsidRPr="0090051E">
              <w:rPr>
                <w:sz w:val="20"/>
                <w:szCs w:val="20"/>
              </w:rPr>
              <w:t>Attestation of International Departure</w:t>
            </w:r>
          </w:p>
        </w:tc>
        <w:tc>
          <w:tcPr>
            <w:tcW w:w="1250" w:type="pct"/>
          </w:tcPr>
          <w:p w14:paraId="19AD6F31" w14:textId="42140A8E" w:rsidR="0009408A" w:rsidRPr="0090051E" w:rsidRDefault="00D675D4" w:rsidP="00D22D8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Last day of the month f</w:t>
            </w:r>
            <w:r w:rsidR="0094446E">
              <w:rPr>
                <w:sz w:val="20"/>
                <w:szCs w:val="20"/>
              </w:rPr>
              <w:t>ollowing the date of departure</w:t>
            </w:r>
          </w:p>
        </w:tc>
      </w:tr>
      <w:tr w:rsidR="00FC061D" w:rsidRPr="0090051E" w14:paraId="021B9D24" w14:textId="77777777" w:rsidTr="00D22D84">
        <w:tc>
          <w:tcPr>
            <w:cnfStyle w:val="001000000000" w:firstRow="0" w:lastRow="0" w:firstColumn="1" w:lastColumn="0" w:oddVBand="0" w:evenVBand="0" w:oddHBand="0" w:evenHBand="0" w:firstRowFirstColumn="0" w:firstRowLastColumn="0" w:lastRowFirstColumn="0" w:lastRowLastColumn="0"/>
            <w:tcW w:w="1250" w:type="pct"/>
          </w:tcPr>
          <w:p w14:paraId="71E20607" w14:textId="77777777" w:rsidR="00FC061D" w:rsidRPr="0090051E" w:rsidRDefault="00FC061D" w:rsidP="00D22D84">
            <w:pPr>
              <w:rPr>
                <w:sz w:val="20"/>
                <w:szCs w:val="20"/>
              </w:rPr>
            </w:pPr>
            <w:r w:rsidRPr="0090051E">
              <w:rPr>
                <w:sz w:val="20"/>
                <w:szCs w:val="20"/>
              </w:rPr>
              <w:t>Loss of coverage from another source</w:t>
            </w:r>
          </w:p>
        </w:tc>
        <w:tc>
          <w:tcPr>
            <w:tcW w:w="1250" w:type="pct"/>
          </w:tcPr>
          <w:p w14:paraId="070E3880" w14:textId="77777777" w:rsidR="00FC061D" w:rsidRPr="0090051E" w:rsidRDefault="00FC061D" w:rsidP="00D22D84">
            <w:pPr>
              <w:cnfStyle w:val="000000000000" w:firstRow="0" w:lastRow="0" w:firstColumn="0" w:lastColumn="0" w:oddVBand="0" w:evenVBand="0" w:oddHBand="0" w:evenHBand="0" w:firstRowFirstColumn="0" w:firstRowLastColumn="0" w:lastRowFirstColumn="0" w:lastRowLastColumn="0"/>
              <w:rPr>
                <w:sz w:val="20"/>
                <w:szCs w:val="20"/>
              </w:rPr>
            </w:pPr>
            <w:r w:rsidRPr="0090051E">
              <w:rPr>
                <w:sz w:val="20"/>
                <w:szCs w:val="20"/>
              </w:rPr>
              <w:t>May enroll in coverage, including spouse and/or child(ren)</w:t>
            </w:r>
          </w:p>
        </w:tc>
        <w:tc>
          <w:tcPr>
            <w:tcW w:w="1250" w:type="pct"/>
          </w:tcPr>
          <w:p w14:paraId="479A4703" w14:textId="77777777" w:rsidR="00FC061D" w:rsidRPr="0090051E" w:rsidRDefault="00FC061D" w:rsidP="00D22D84">
            <w:pPr>
              <w:cnfStyle w:val="000000000000" w:firstRow="0" w:lastRow="0" w:firstColumn="0" w:lastColumn="0" w:oddVBand="0" w:evenVBand="0" w:oddHBand="0" w:evenHBand="0" w:firstRowFirstColumn="0" w:firstRowLastColumn="0" w:lastRowFirstColumn="0" w:lastRowLastColumn="0"/>
              <w:rPr>
                <w:sz w:val="20"/>
                <w:szCs w:val="20"/>
              </w:rPr>
            </w:pPr>
            <w:r w:rsidRPr="0090051E">
              <w:rPr>
                <w:sz w:val="20"/>
                <w:szCs w:val="20"/>
              </w:rPr>
              <w:t>Loss of Coverage notification letter</w:t>
            </w:r>
          </w:p>
        </w:tc>
        <w:tc>
          <w:tcPr>
            <w:tcW w:w="1250" w:type="pct"/>
          </w:tcPr>
          <w:p w14:paraId="04A326FE" w14:textId="77777777" w:rsidR="00FC061D" w:rsidRPr="0090051E" w:rsidRDefault="00FC061D" w:rsidP="00D22D84">
            <w:pPr>
              <w:cnfStyle w:val="000000000000" w:firstRow="0" w:lastRow="0" w:firstColumn="0" w:lastColumn="0" w:oddVBand="0" w:evenVBand="0" w:oddHBand="0" w:evenHBand="0" w:firstRowFirstColumn="0" w:firstRowLastColumn="0" w:lastRowFirstColumn="0" w:lastRowLastColumn="0"/>
              <w:rPr>
                <w:sz w:val="20"/>
                <w:szCs w:val="20"/>
              </w:rPr>
            </w:pPr>
            <w:r w:rsidRPr="0090051E">
              <w:rPr>
                <w:sz w:val="20"/>
                <w:szCs w:val="20"/>
              </w:rPr>
              <w:t>First day of the of month following the date of loss of coverage</w:t>
            </w:r>
          </w:p>
        </w:tc>
      </w:tr>
      <w:tr w:rsidR="00FC061D" w:rsidRPr="0090051E" w14:paraId="445E4621" w14:textId="77777777" w:rsidTr="00D22D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786830C3" w14:textId="77777777" w:rsidR="00FC061D" w:rsidRPr="0090051E" w:rsidRDefault="00FC061D" w:rsidP="00D22D84">
            <w:pPr>
              <w:rPr>
                <w:sz w:val="20"/>
                <w:szCs w:val="20"/>
              </w:rPr>
            </w:pPr>
            <w:r w:rsidRPr="0090051E">
              <w:rPr>
                <w:sz w:val="20"/>
                <w:szCs w:val="20"/>
              </w:rPr>
              <w:t>Divorce or legal separation</w:t>
            </w:r>
          </w:p>
        </w:tc>
        <w:tc>
          <w:tcPr>
            <w:tcW w:w="1250" w:type="pct"/>
          </w:tcPr>
          <w:p w14:paraId="50239C02" w14:textId="77777777" w:rsidR="00FC061D" w:rsidRPr="0090051E" w:rsidRDefault="00FC061D" w:rsidP="00D22D84">
            <w:pPr>
              <w:cnfStyle w:val="000000100000" w:firstRow="0" w:lastRow="0" w:firstColumn="0" w:lastColumn="0" w:oddVBand="0" w:evenVBand="0" w:oddHBand="1" w:evenHBand="0" w:firstRowFirstColumn="0" w:firstRowLastColumn="0" w:lastRowFirstColumn="0" w:lastRowLastColumn="0"/>
              <w:rPr>
                <w:sz w:val="20"/>
                <w:szCs w:val="20"/>
              </w:rPr>
            </w:pPr>
            <w:r w:rsidRPr="0090051E">
              <w:rPr>
                <w:sz w:val="20"/>
                <w:szCs w:val="20"/>
              </w:rPr>
              <w:t>Termination of coverage for spouse</w:t>
            </w:r>
          </w:p>
        </w:tc>
        <w:tc>
          <w:tcPr>
            <w:tcW w:w="1250" w:type="pct"/>
          </w:tcPr>
          <w:p w14:paraId="0124CA2E" w14:textId="77777777" w:rsidR="00FC061D" w:rsidRPr="0090051E" w:rsidRDefault="00FC061D" w:rsidP="00D22D84">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90051E">
              <w:rPr>
                <w:rFonts w:ascii="Calibri" w:hAnsi="Calibri"/>
                <w:bCs/>
                <w:color w:val="000000"/>
                <w:sz w:val="20"/>
                <w:szCs w:val="20"/>
              </w:rPr>
              <w:t>Copy of final legal separation agreement or divorce decree</w:t>
            </w:r>
            <w:r w:rsidRPr="0090051E">
              <w:rPr>
                <w:rFonts w:ascii="Calibri" w:hAnsi="Calibri"/>
                <w:color w:val="000000"/>
                <w:sz w:val="20"/>
                <w:szCs w:val="20"/>
              </w:rPr>
              <w:t>, including:</w:t>
            </w:r>
          </w:p>
          <w:p w14:paraId="7B6CE4D4" w14:textId="77777777" w:rsidR="00FC061D" w:rsidRPr="0090051E" w:rsidRDefault="00FC061D" w:rsidP="00D22D84">
            <w:pPr>
              <w:pStyle w:val="ListParagraph"/>
              <w:numPr>
                <w:ilvl w:val="0"/>
                <w:numId w:val="9"/>
              </w:numPr>
              <w:ind w:left="144" w:hanging="144"/>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90051E">
              <w:rPr>
                <w:rFonts w:ascii="Calibri" w:hAnsi="Calibri"/>
                <w:color w:val="000000"/>
                <w:sz w:val="20"/>
                <w:szCs w:val="20"/>
              </w:rPr>
              <w:t>Cover page listing the parties involved;</w:t>
            </w:r>
          </w:p>
          <w:p w14:paraId="1B9399F9" w14:textId="77777777" w:rsidR="00FC061D" w:rsidRPr="0090051E" w:rsidRDefault="00FC061D" w:rsidP="00D22D84">
            <w:pPr>
              <w:pStyle w:val="ListParagraph"/>
              <w:numPr>
                <w:ilvl w:val="0"/>
                <w:numId w:val="9"/>
              </w:numPr>
              <w:ind w:left="144" w:hanging="144"/>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90051E">
              <w:rPr>
                <w:rFonts w:ascii="Calibri" w:hAnsi="Calibri"/>
                <w:color w:val="000000"/>
                <w:sz w:val="20"/>
                <w:szCs w:val="20"/>
              </w:rPr>
              <w:t>Page that indicates the date the divorce or legal separation became final</w:t>
            </w:r>
          </w:p>
          <w:p w14:paraId="08869531" w14:textId="77777777" w:rsidR="00FC061D" w:rsidRPr="0090051E" w:rsidRDefault="00FC061D" w:rsidP="00D22D84">
            <w:pPr>
              <w:pStyle w:val="ListParagraph"/>
              <w:numPr>
                <w:ilvl w:val="0"/>
                <w:numId w:val="9"/>
              </w:numPr>
              <w:ind w:left="144" w:hanging="144"/>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90051E">
              <w:rPr>
                <w:rFonts w:ascii="Calibri" w:hAnsi="Calibri"/>
                <w:color w:val="000000"/>
                <w:sz w:val="20"/>
                <w:szCs w:val="20"/>
              </w:rPr>
              <w:t>Page(s) that refer to health insurance; and</w:t>
            </w:r>
          </w:p>
          <w:p w14:paraId="2E1620F7" w14:textId="77777777" w:rsidR="00FC061D" w:rsidRPr="0090051E" w:rsidRDefault="00FC061D" w:rsidP="00D22D84">
            <w:pPr>
              <w:cnfStyle w:val="000000100000" w:firstRow="0" w:lastRow="0" w:firstColumn="0" w:lastColumn="0" w:oddVBand="0" w:evenVBand="0" w:oddHBand="1" w:evenHBand="0" w:firstRowFirstColumn="0" w:firstRowLastColumn="0" w:lastRowFirstColumn="0" w:lastRowLastColumn="0"/>
              <w:rPr>
                <w:sz w:val="20"/>
                <w:szCs w:val="20"/>
              </w:rPr>
            </w:pPr>
            <w:r w:rsidRPr="0090051E">
              <w:rPr>
                <w:rFonts w:ascii="Calibri" w:hAnsi="Calibri"/>
                <w:color w:val="000000"/>
                <w:sz w:val="20"/>
                <w:szCs w:val="20"/>
              </w:rPr>
              <w:t>Signature page</w:t>
            </w:r>
          </w:p>
        </w:tc>
        <w:tc>
          <w:tcPr>
            <w:tcW w:w="1250" w:type="pct"/>
          </w:tcPr>
          <w:p w14:paraId="21FB64FF" w14:textId="77777777" w:rsidR="00FC061D" w:rsidRPr="0090051E" w:rsidRDefault="00FC061D" w:rsidP="00D22D84">
            <w:pPr>
              <w:cnfStyle w:val="000000100000" w:firstRow="0" w:lastRow="0" w:firstColumn="0" w:lastColumn="0" w:oddVBand="0" w:evenVBand="0" w:oddHBand="1" w:evenHBand="0" w:firstRowFirstColumn="0" w:firstRowLastColumn="0" w:lastRowFirstColumn="0" w:lastRowLastColumn="0"/>
              <w:rPr>
                <w:sz w:val="20"/>
                <w:szCs w:val="20"/>
              </w:rPr>
            </w:pPr>
            <w:r w:rsidRPr="0090051E">
              <w:rPr>
                <w:sz w:val="20"/>
                <w:szCs w:val="20"/>
              </w:rPr>
              <w:t>Last day of the month in which the divorce is effective</w:t>
            </w:r>
          </w:p>
        </w:tc>
      </w:tr>
      <w:tr w:rsidR="00FC061D" w:rsidRPr="0090051E" w14:paraId="35ACB8D8" w14:textId="77777777" w:rsidTr="00D22D84">
        <w:tc>
          <w:tcPr>
            <w:cnfStyle w:val="001000000000" w:firstRow="0" w:lastRow="0" w:firstColumn="1" w:lastColumn="0" w:oddVBand="0" w:evenVBand="0" w:oddHBand="0" w:evenHBand="0" w:firstRowFirstColumn="0" w:firstRowLastColumn="0" w:lastRowFirstColumn="0" w:lastRowLastColumn="0"/>
            <w:tcW w:w="1250" w:type="pct"/>
          </w:tcPr>
          <w:p w14:paraId="6FB5425E" w14:textId="0C0A2B29" w:rsidR="00FC061D" w:rsidRPr="0090051E" w:rsidRDefault="00FC061D" w:rsidP="00D22D84">
            <w:pPr>
              <w:rPr>
                <w:sz w:val="20"/>
                <w:szCs w:val="20"/>
              </w:rPr>
            </w:pPr>
            <w:r w:rsidRPr="0090051E">
              <w:rPr>
                <w:sz w:val="20"/>
                <w:szCs w:val="20"/>
              </w:rPr>
              <w:t xml:space="preserve">Enrolled subscriber becomes newly eligible for Medicare or </w:t>
            </w:r>
            <w:r w:rsidR="00A6656E" w:rsidRPr="0090051E">
              <w:rPr>
                <w:sz w:val="20"/>
                <w:szCs w:val="20"/>
              </w:rPr>
              <w:t>comparable coverage</w:t>
            </w:r>
          </w:p>
        </w:tc>
        <w:tc>
          <w:tcPr>
            <w:tcW w:w="1250" w:type="pct"/>
          </w:tcPr>
          <w:p w14:paraId="17BFFCF2" w14:textId="77777777" w:rsidR="00FC061D" w:rsidRPr="0090051E" w:rsidRDefault="00FC061D" w:rsidP="00D22D84">
            <w:pPr>
              <w:cnfStyle w:val="000000000000" w:firstRow="0" w:lastRow="0" w:firstColumn="0" w:lastColumn="0" w:oddVBand="0" w:evenVBand="0" w:oddHBand="0" w:evenHBand="0" w:firstRowFirstColumn="0" w:firstRowLastColumn="0" w:lastRowFirstColumn="0" w:lastRowLastColumn="0"/>
              <w:rPr>
                <w:sz w:val="20"/>
                <w:szCs w:val="20"/>
              </w:rPr>
            </w:pPr>
            <w:r w:rsidRPr="0090051E">
              <w:rPr>
                <w:sz w:val="20"/>
                <w:szCs w:val="20"/>
              </w:rPr>
              <w:t>Termination of coverage for subscriber and all enrolled dependents</w:t>
            </w:r>
          </w:p>
        </w:tc>
        <w:tc>
          <w:tcPr>
            <w:tcW w:w="1250" w:type="pct"/>
          </w:tcPr>
          <w:p w14:paraId="3B579FDD" w14:textId="0F872F53" w:rsidR="00FC061D" w:rsidRPr="0090051E" w:rsidRDefault="00FC061D" w:rsidP="00D22D84">
            <w:pPr>
              <w:cnfStyle w:val="000000000000" w:firstRow="0" w:lastRow="0" w:firstColumn="0" w:lastColumn="0" w:oddVBand="0" w:evenVBand="0" w:oddHBand="0" w:evenHBand="0" w:firstRowFirstColumn="0" w:firstRowLastColumn="0" w:lastRowFirstColumn="0" w:lastRowLastColumn="0"/>
              <w:rPr>
                <w:sz w:val="20"/>
                <w:szCs w:val="20"/>
              </w:rPr>
            </w:pPr>
            <w:r w:rsidRPr="0090051E">
              <w:rPr>
                <w:sz w:val="20"/>
                <w:szCs w:val="20"/>
              </w:rPr>
              <w:t xml:space="preserve">Proof of enrollment into Medicare or other health insurance </w:t>
            </w:r>
            <w:r w:rsidR="00A6656E" w:rsidRPr="0090051E">
              <w:rPr>
                <w:sz w:val="20"/>
                <w:szCs w:val="20"/>
              </w:rPr>
              <w:t>plan</w:t>
            </w:r>
          </w:p>
        </w:tc>
        <w:tc>
          <w:tcPr>
            <w:tcW w:w="1250" w:type="pct"/>
          </w:tcPr>
          <w:p w14:paraId="2B9CB3DC" w14:textId="77777777" w:rsidR="00FC061D" w:rsidRPr="0090051E" w:rsidRDefault="00FC061D" w:rsidP="00D22D84">
            <w:pPr>
              <w:cnfStyle w:val="000000000000" w:firstRow="0" w:lastRow="0" w:firstColumn="0" w:lastColumn="0" w:oddVBand="0" w:evenVBand="0" w:oddHBand="0" w:evenHBand="0" w:firstRowFirstColumn="0" w:firstRowLastColumn="0" w:lastRowFirstColumn="0" w:lastRowLastColumn="0"/>
              <w:rPr>
                <w:sz w:val="20"/>
                <w:szCs w:val="20"/>
              </w:rPr>
            </w:pPr>
            <w:r w:rsidRPr="0090051E">
              <w:rPr>
                <w:sz w:val="20"/>
                <w:szCs w:val="20"/>
              </w:rPr>
              <w:t>Last day of the month in which the new eligibility begins</w:t>
            </w:r>
          </w:p>
        </w:tc>
      </w:tr>
      <w:tr w:rsidR="00FC061D" w:rsidRPr="0090051E" w14:paraId="5AEE7F63" w14:textId="77777777" w:rsidTr="00D22D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3E3BF99B" w14:textId="1ACF0662" w:rsidR="00FC061D" w:rsidRPr="0090051E" w:rsidRDefault="00FC061D" w:rsidP="00D22D84">
            <w:pPr>
              <w:rPr>
                <w:sz w:val="20"/>
                <w:szCs w:val="20"/>
              </w:rPr>
            </w:pPr>
            <w:r w:rsidRPr="0090051E">
              <w:rPr>
                <w:sz w:val="20"/>
                <w:szCs w:val="20"/>
              </w:rPr>
              <w:t xml:space="preserve">Enrolled dependent becomes newly eligible for Medicare or </w:t>
            </w:r>
            <w:r w:rsidR="00A6656E" w:rsidRPr="0090051E">
              <w:rPr>
                <w:sz w:val="20"/>
                <w:szCs w:val="20"/>
              </w:rPr>
              <w:t>comparable coverage</w:t>
            </w:r>
          </w:p>
        </w:tc>
        <w:tc>
          <w:tcPr>
            <w:tcW w:w="1250" w:type="pct"/>
          </w:tcPr>
          <w:p w14:paraId="1DE37F8F" w14:textId="77777777" w:rsidR="00FC061D" w:rsidRPr="0090051E" w:rsidRDefault="00FC061D" w:rsidP="00D22D84">
            <w:pPr>
              <w:cnfStyle w:val="000000100000" w:firstRow="0" w:lastRow="0" w:firstColumn="0" w:lastColumn="0" w:oddVBand="0" w:evenVBand="0" w:oddHBand="1" w:evenHBand="0" w:firstRowFirstColumn="0" w:firstRowLastColumn="0" w:lastRowFirstColumn="0" w:lastRowLastColumn="0"/>
              <w:rPr>
                <w:sz w:val="20"/>
                <w:szCs w:val="20"/>
              </w:rPr>
            </w:pPr>
            <w:r w:rsidRPr="0090051E">
              <w:rPr>
                <w:sz w:val="20"/>
                <w:szCs w:val="20"/>
              </w:rPr>
              <w:t>Termination of coverage for the enrolled dependent</w:t>
            </w:r>
          </w:p>
        </w:tc>
        <w:tc>
          <w:tcPr>
            <w:tcW w:w="1250" w:type="pct"/>
          </w:tcPr>
          <w:p w14:paraId="3BA15908" w14:textId="0F03D844" w:rsidR="00FC061D" w:rsidRPr="0090051E" w:rsidRDefault="00FC061D" w:rsidP="00A6656E">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90051E">
              <w:rPr>
                <w:sz w:val="20"/>
                <w:szCs w:val="20"/>
              </w:rPr>
              <w:t xml:space="preserve">Proof of enrollment into Medicare or other health insurance </w:t>
            </w:r>
            <w:r w:rsidR="00A6656E" w:rsidRPr="0090051E">
              <w:rPr>
                <w:sz w:val="20"/>
                <w:szCs w:val="20"/>
              </w:rPr>
              <w:t>plan</w:t>
            </w:r>
          </w:p>
        </w:tc>
        <w:tc>
          <w:tcPr>
            <w:tcW w:w="1250" w:type="pct"/>
          </w:tcPr>
          <w:p w14:paraId="37E157B5" w14:textId="77777777" w:rsidR="00FC061D" w:rsidRPr="0090051E" w:rsidRDefault="00FC061D" w:rsidP="00D22D84">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90051E">
              <w:rPr>
                <w:sz w:val="20"/>
                <w:szCs w:val="20"/>
              </w:rPr>
              <w:t>Last day of the month in which the new eligibility begins</w:t>
            </w:r>
          </w:p>
        </w:tc>
      </w:tr>
      <w:tr w:rsidR="00FC061D" w:rsidRPr="0090051E" w14:paraId="4F9F2F33" w14:textId="77777777" w:rsidTr="00D22D84">
        <w:tc>
          <w:tcPr>
            <w:cnfStyle w:val="001000000000" w:firstRow="0" w:lastRow="0" w:firstColumn="1" w:lastColumn="0" w:oddVBand="0" w:evenVBand="0" w:oddHBand="0" w:evenHBand="0" w:firstRowFirstColumn="0" w:firstRowLastColumn="0" w:lastRowFirstColumn="0" w:lastRowLastColumn="0"/>
            <w:tcW w:w="1250" w:type="pct"/>
          </w:tcPr>
          <w:p w14:paraId="0A99E17E" w14:textId="1E3A16C4" w:rsidR="00FC061D" w:rsidRPr="0090051E" w:rsidRDefault="00FC061D" w:rsidP="00D22D84">
            <w:pPr>
              <w:rPr>
                <w:sz w:val="20"/>
                <w:szCs w:val="20"/>
              </w:rPr>
            </w:pPr>
            <w:r w:rsidRPr="0090051E">
              <w:rPr>
                <w:sz w:val="20"/>
                <w:szCs w:val="20"/>
              </w:rPr>
              <w:t>Loss of comparable coverage</w:t>
            </w:r>
            <w:r w:rsidR="00A6656E" w:rsidRPr="0090051E">
              <w:rPr>
                <w:sz w:val="20"/>
                <w:szCs w:val="20"/>
              </w:rPr>
              <w:t>, Medicare or Medicaid</w:t>
            </w:r>
            <w:r w:rsidRPr="0090051E">
              <w:rPr>
                <w:sz w:val="20"/>
                <w:szCs w:val="20"/>
              </w:rPr>
              <w:t xml:space="preserve"> by an unenrolled subscriber</w:t>
            </w:r>
          </w:p>
        </w:tc>
        <w:tc>
          <w:tcPr>
            <w:tcW w:w="1250" w:type="pct"/>
          </w:tcPr>
          <w:p w14:paraId="4C6C6129" w14:textId="77777777" w:rsidR="00FC061D" w:rsidRPr="0090051E" w:rsidRDefault="00FC061D" w:rsidP="00D22D84">
            <w:pPr>
              <w:cnfStyle w:val="000000000000" w:firstRow="0" w:lastRow="0" w:firstColumn="0" w:lastColumn="0" w:oddVBand="0" w:evenVBand="0" w:oddHBand="0" w:evenHBand="0" w:firstRowFirstColumn="0" w:firstRowLastColumn="0" w:lastRowFirstColumn="0" w:lastRowLastColumn="0"/>
              <w:rPr>
                <w:sz w:val="20"/>
                <w:szCs w:val="20"/>
              </w:rPr>
            </w:pPr>
            <w:r w:rsidRPr="0090051E">
              <w:rPr>
                <w:sz w:val="20"/>
                <w:szCs w:val="20"/>
              </w:rPr>
              <w:t>May enroll in coverage</w:t>
            </w:r>
          </w:p>
        </w:tc>
        <w:tc>
          <w:tcPr>
            <w:tcW w:w="1250" w:type="pct"/>
          </w:tcPr>
          <w:p w14:paraId="74D8392F" w14:textId="77777777" w:rsidR="00FC061D" w:rsidRPr="0090051E" w:rsidRDefault="00FC061D" w:rsidP="00D22D84">
            <w:pPr>
              <w:cnfStyle w:val="000000000000" w:firstRow="0" w:lastRow="0" w:firstColumn="0" w:lastColumn="0" w:oddVBand="0" w:evenVBand="0" w:oddHBand="0" w:evenHBand="0" w:firstRowFirstColumn="0" w:firstRowLastColumn="0" w:lastRowFirstColumn="0" w:lastRowLastColumn="0"/>
              <w:rPr>
                <w:sz w:val="20"/>
                <w:szCs w:val="20"/>
              </w:rPr>
            </w:pPr>
            <w:r w:rsidRPr="0090051E">
              <w:rPr>
                <w:sz w:val="20"/>
                <w:szCs w:val="20"/>
              </w:rPr>
              <w:t>Loss of Coverage notification letter</w:t>
            </w:r>
          </w:p>
        </w:tc>
        <w:tc>
          <w:tcPr>
            <w:tcW w:w="1250" w:type="pct"/>
          </w:tcPr>
          <w:p w14:paraId="2616B15E" w14:textId="77777777" w:rsidR="00FC061D" w:rsidRPr="0090051E" w:rsidRDefault="00FC061D" w:rsidP="00D22D84">
            <w:pPr>
              <w:cnfStyle w:val="000000000000" w:firstRow="0" w:lastRow="0" w:firstColumn="0" w:lastColumn="0" w:oddVBand="0" w:evenVBand="0" w:oddHBand="0" w:evenHBand="0" w:firstRowFirstColumn="0" w:firstRowLastColumn="0" w:lastRowFirstColumn="0" w:lastRowLastColumn="0"/>
              <w:rPr>
                <w:sz w:val="20"/>
                <w:szCs w:val="20"/>
              </w:rPr>
            </w:pPr>
            <w:r w:rsidRPr="0090051E">
              <w:rPr>
                <w:sz w:val="20"/>
                <w:szCs w:val="20"/>
              </w:rPr>
              <w:t>First day of the of month following loss of coverage</w:t>
            </w:r>
          </w:p>
        </w:tc>
      </w:tr>
      <w:tr w:rsidR="00FC061D" w:rsidRPr="0090051E" w14:paraId="10277C7B" w14:textId="77777777" w:rsidTr="00D22D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28747089" w14:textId="4A829754" w:rsidR="00FC061D" w:rsidRPr="0090051E" w:rsidRDefault="002D02F4" w:rsidP="00D22D84">
            <w:pPr>
              <w:rPr>
                <w:sz w:val="20"/>
                <w:szCs w:val="20"/>
              </w:rPr>
            </w:pPr>
            <w:r w:rsidRPr="0090051E">
              <w:rPr>
                <w:sz w:val="20"/>
                <w:szCs w:val="20"/>
              </w:rPr>
              <w:t>Loss of comparable coverage, Medicare or Medicaid by an unenrolled dependent</w:t>
            </w:r>
          </w:p>
        </w:tc>
        <w:tc>
          <w:tcPr>
            <w:tcW w:w="1250" w:type="pct"/>
          </w:tcPr>
          <w:p w14:paraId="160DF750" w14:textId="77777777" w:rsidR="00FC061D" w:rsidRPr="0090051E" w:rsidRDefault="00FC061D" w:rsidP="00D22D84">
            <w:pPr>
              <w:cnfStyle w:val="000000100000" w:firstRow="0" w:lastRow="0" w:firstColumn="0" w:lastColumn="0" w:oddVBand="0" w:evenVBand="0" w:oddHBand="1" w:evenHBand="0" w:firstRowFirstColumn="0" w:firstRowLastColumn="0" w:lastRowFirstColumn="0" w:lastRowLastColumn="0"/>
              <w:rPr>
                <w:sz w:val="20"/>
                <w:szCs w:val="20"/>
              </w:rPr>
            </w:pPr>
            <w:r w:rsidRPr="0090051E">
              <w:rPr>
                <w:sz w:val="20"/>
                <w:szCs w:val="20"/>
              </w:rPr>
              <w:t>May add coverage for dependent who has lost coverage</w:t>
            </w:r>
          </w:p>
        </w:tc>
        <w:tc>
          <w:tcPr>
            <w:tcW w:w="1250" w:type="pct"/>
          </w:tcPr>
          <w:p w14:paraId="30D56CBD" w14:textId="77777777" w:rsidR="00FC061D" w:rsidRPr="0090051E" w:rsidRDefault="00FC061D" w:rsidP="00D22D84">
            <w:pPr>
              <w:cnfStyle w:val="000000100000" w:firstRow="0" w:lastRow="0" w:firstColumn="0" w:lastColumn="0" w:oddVBand="0" w:evenVBand="0" w:oddHBand="1" w:evenHBand="0" w:firstRowFirstColumn="0" w:firstRowLastColumn="0" w:lastRowFirstColumn="0" w:lastRowLastColumn="0"/>
              <w:rPr>
                <w:sz w:val="20"/>
                <w:szCs w:val="20"/>
              </w:rPr>
            </w:pPr>
            <w:r w:rsidRPr="0090051E">
              <w:rPr>
                <w:sz w:val="20"/>
                <w:szCs w:val="20"/>
              </w:rPr>
              <w:t>Loss of Coverage notification letter</w:t>
            </w:r>
          </w:p>
        </w:tc>
        <w:tc>
          <w:tcPr>
            <w:tcW w:w="1250" w:type="pct"/>
          </w:tcPr>
          <w:p w14:paraId="06B95CBD" w14:textId="77777777" w:rsidR="00FC061D" w:rsidRPr="0090051E" w:rsidRDefault="00FC061D" w:rsidP="00D22D84">
            <w:pPr>
              <w:cnfStyle w:val="000000100000" w:firstRow="0" w:lastRow="0" w:firstColumn="0" w:lastColumn="0" w:oddVBand="0" w:evenVBand="0" w:oddHBand="1" w:evenHBand="0" w:firstRowFirstColumn="0" w:firstRowLastColumn="0" w:lastRowFirstColumn="0" w:lastRowLastColumn="0"/>
              <w:rPr>
                <w:sz w:val="20"/>
                <w:szCs w:val="20"/>
              </w:rPr>
            </w:pPr>
            <w:r w:rsidRPr="0090051E">
              <w:rPr>
                <w:sz w:val="20"/>
                <w:szCs w:val="20"/>
              </w:rPr>
              <w:t xml:space="preserve">First day of the of month following loss of coverage </w:t>
            </w:r>
          </w:p>
        </w:tc>
      </w:tr>
      <w:tr w:rsidR="0009408A" w:rsidRPr="0090051E" w14:paraId="3D6CC8A5" w14:textId="77777777" w:rsidTr="00D22D84">
        <w:tc>
          <w:tcPr>
            <w:cnfStyle w:val="001000000000" w:firstRow="0" w:lastRow="0" w:firstColumn="1" w:lastColumn="0" w:oddVBand="0" w:evenVBand="0" w:oddHBand="0" w:evenHBand="0" w:firstRowFirstColumn="0" w:firstRowLastColumn="0" w:lastRowFirstColumn="0" w:lastRowLastColumn="0"/>
            <w:tcW w:w="1250" w:type="pct"/>
          </w:tcPr>
          <w:p w14:paraId="2462B138" w14:textId="77777777" w:rsidR="00FC061D" w:rsidRPr="0090051E" w:rsidRDefault="00FC061D" w:rsidP="00D22D84">
            <w:pPr>
              <w:rPr>
                <w:sz w:val="20"/>
                <w:szCs w:val="20"/>
              </w:rPr>
            </w:pPr>
            <w:r w:rsidRPr="0090051E">
              <w:rPr>
                <w:sz w:val="20"/>
                <w:szCs w:val="20"/>
              </w:rPr>
              <w:t>Death of an enrolled subscriber</w:t>
            </w:r>
          </w:p>
        </w:tc>
        <w:tc>
          <w:tcPr>
            <w:tcW w:w="1250" w:type="pct"/>
          </w:tcPr>
          <w:p w14:paraId="79357E4B" w14:textId="77777777" w:rsidR="00FC061D" w:rsidRPr="0090051E" w:rsidRDefault="00FC061D" w:rsidP="00D22D84">
            <w:pPr>
              <w:cnfStyle w:val="000000000000" w:firstRow="0" w:lastRow="0" w:firstColumn="0" w:lastColumn="0" w:oddVBand="0" w:evenVBand="0" w:oddHBand="0" w:evenHBand="0" w:firstRowFirstColumn="0" w:firstRowLastColumn="0" w:lastRowFirstColumn="0" w:lastRowLastColumn="0"/>
              <w:rPr>
                <w:sz w:val="20"/>
                <w:szCs w:val="20"/>
              </w:rPr>
            </w:pPr>
            <w:r w:rsidRPr="0090051E">
              <w:rPr>
                <w:sz w:val="20"/>
                <w:szCs w:val="20"/>
              </w:rPr>
              <w:t>Termination of coverage for subscriber and all enrolled dependents</w:t>
            </w:r>
          </w:p>
        </w:tc>
        <w:tc>
          <w:tcPr>
            <w:tcW w:w="1250" w:type="pct"/>
          </w:tcPr>
          <w:p w14:paraId="143AF1FE" w14:textId="77777777" w:rsidR="00FC061D" w:rsidRPr="0090051E" w:rsidRDefault="00FC061D" w:rsidP="00D22D84">
            <w:pPr>
              <w:cnfStyle w:val="000000000000" w:firstRow="0" w:lastRow="0" w:firstColumn="0" w:lastColumn="0" w:oddVBand="0" w:evenVBand="0" w:oddHBand="0" w:evenHBand="0" w:firstRowFirstColumn="0" w:firstRowLastColumn="0" w:lastRowFirstColumn="0" w:lastRowLastColumn="0"/>
              <w:rPr>
                <w:sz w:val="20"/>
                <w:szCs w:val="20"/>
              </w:rPr>
            </w:pPr>
            <w:r w:rsidRPr="0090051E">
              <w:rPr>
                <w:sz w:val="20"/>
                <w:szCs w:val="20"/>
              </w:rPr>
              <w:t>Death certificate</w:t>
            </w:r>
          </w:p>
        </w:tc>
        <w:tc>
          <w:tcPr>
            <w:tcW w:w="1250" w:type="pct"/>
          </w:tcPr>
          <w:p w14:paraId="34626295" w14:textId="77777777" w:rsidR="00FC061D" w:rsidRPr="0090051E" w:rsidRDefault="00FC061D" w:rsidP="00D22D84">
            <w:pPr>
              <w:cnfStyle w:val="000000000000" w:firstRow="0" w:lastRow="0" w:firstColumn="0" w:lastColumn="0" w:oddVBand="0" w:evenVBand="0" w:oddHBand="0" w:evenHBand="0" w:firstRowFirstColumn="0" w:firstRowLastColumn="0" w:lastRowFirstColumn="0" w:lastRowLastColumn="0"/>
              <w:rPr>
                <w:sz w:val="20"/>
                <w:szCs w:val="20"/>
              </w:rPr>
            </w:pPr>
            <w:r w:rsidRPr="0090051E">
              <w:rPr>
                <w:sz w:val="20"/>
                <w:szCs w:val="20"/>
              </w:rPr>
              <w:t>Date of death</w:t>
            </w:r>
          </w:p>
        </w:tc>
      </w:tr>
      <w:tr w:rsidR="0009408A" w:rsidRPr="0090051E" w14:paraId="0C138FC3" w14:textId="77777777" w:rsidTr="00D22D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115A259B" w14:textId="77777777" w:rsidR="00FC061D" w:rsidRPr="0090051E" w:rsidRDefault="00FC061D" w:rsidP="00D22D84">
            <w:pPr>
              <w:rPr>
                <w:sz w:val="20"/>
                <w:szCs w:val="20"/>
              </w:rPr>
            </w:pPr>
            <w:r w:rsidRPr="0090051E">
              <w:rPr>
                <w:sz w:val="20"/>
                <w:szCs w:val="20"/>
              </w:rPr>
              <w:t>Death of an enrolled dependent</w:t>
            </w:r>
          </w:p>
        </w:tc>
        <w:tc>
          <w:tcPr>
            <w:tcW w:w="1250" w:type="pct"/>
          </w:tcPr>
          <w:p w14:paraId="4A615F9C" w14:textId="77777777" w:rsidR="00FC061D" w:rsidRPr="0090051E" w:rsidRDefault="00FC061D" w:rsidP="00D22D84">
            <w:pPr>
              <w:cnfStyle w:val="000000100000" w:firstRow="0" w:lastRow="0" w:firstColumn="0" w:lastColumn="0" w:oddVBand="0" w:evenVBand="0" w:oddHBand="1" w:evenHBand="0" w:firstRowFirstColumn="0" w:firstRowLastColumn="0" w:lastRowFirstColumn="0" w:lastRowLastColumn="0"/>
              <w:rPr>
                <w:sz w:val="20"/>
                <w:szCs w:val="20"/>
              </w:rPr>
            </w:pPr>
            <w:r w:rsidRPr="0090051E">
              <w:rPr>
                <w:sz w:val="20"/>
                <w:szCs w:val="20"/>
              </w:rPr>
              <w:t>Termination of coverage for the enrolled dependent</w:t>
            </w:r>
          </w:p>
        </w:tc>
        <w:tc>
          <w:tcPr>
            <w:tcW w:w="1250" w:type="pct"/>
          </w:tcPr>
          <w:p w14:paraId="149DB546" w14:textId="77777777" w:rsidR="00FC061D" w:rsidRPr="0090051E" w:rsidRDefault="00FC061D" w:rsidP="00D22D84">
            <w:pPr>
              <w:cnfStyle w:val="000000100000" w:firstRow="0" w:lastRow="0" w:firstColumn="0" w:lastColumn="0" w:oddVBand="0" w:evenVBand="0" w:oddHBand="1" w:evenHBand="0" w:firstRowFirstColumn="0" w:firstRowLastColumn="0" w:lastRowFirstColumn="0" w:lastRowLastColumn="0"/>
              <w:rPr>
                <w:sz w:val="20"/>
                <w:szCs w:val="20"/>
              </w:rPr>
            </w:pPr>
            <w:r w:rsidRPr="0090051E">
              <w:rPr>
                <w:sz w:val="20"/>
                <w:szCs w:val="20"/>
              </w:rPr>
              <w:t>Death certificate</w:t>
            </w:r>
          </w:p>
        </w:tc>
        <w:tc>
          <w:tcPr>
            <w:tcW w:w="1250" w:type="pct"/>
          </w:tcPr>
          <w:p w14:paraId="013FEA7E" w14:textId="77777777" w:rsidR="00FC061D" w:rsidRPr="0090051E" w:rsidRDefault="00FC061D" w:rsidP="00D22D84">
            <w:pPr>
              <w:cnfStyle w:val="000000100000" w:firstRow="0" w:lastRow="0" w:firstColumn="0" w:lastColumn="0" w:oddVBand="0" w:evenVBand="0" w:oddHBand="1" w:evenHBand="0" w:firstRowFirstColumn="0" w:firstRowLastColumn="0" w:lastRowFirstColumn="0" w:lastRowLastColumn="0"/>
              <w:rPr>
                <w:sz w:val="20"/>
                <w:szCs w:val="20"/>
              </w:rPr>
            </w:pPr>
            <w:r w:rsidRPr="0090051E">
              <w:rPr>
                <w:sz w:val="20"/>
                <w:szCs w:val="20"/>
              </w:rPr>
              <w:t>Date of death</w:t>
            </w:r>
          </w:p>
        </w:tc>
      </w:tr>
    </w:tbl>
    <w:p w14:paraId="2F5A6EC3" w14:textId="77777777" w:rsidR="0025342E" w:rsidRPr="0090051E" w:rsidRDefault="0025342E" w:rsidP="00D70042"/>
    <w:p w14:paraId="3B5800BD" w14:textId="3B5B8D7C" w:rsidR="0025342E" w:rsidRPr="0090051E" w:rsidRDefault="001D7147" w:rsidP="00D70042">
      <w:pPr>
        <w:pStyle w:val="Heading2"/>
        <w:spacing w:before="0" w:after="120"/>
        <w:rPr>
          <w:i/>
          <w:color w:val="auto"/>
        </w:rPr>
      </w:pPr>
      <w:bookmarkStart w:id="76" w:name="_Toc232415518"/>
      <w:r w:rsidRPr="0090051E">
        <w:rPr>
          <w:i/>
          <w:color w:val="auto"/>
        </w:rPr>
        <w:lastRenderedPageBreak/>
        <w:t>7</w:t>
      </w:r>
      <w:r w:rsidR="0025342E" w:rsidRPr="0090051E">
        <w:rPr>
          <w:i/>
          <w:color w:val="auto"/>
        </w:rPr>
        <w:t>.</w:t>
      </w:r>
      <w:r w:rsidR="005C374C" w:rsidRPr="0090051E">
        <w:rPr>
          <w:i/>
          <w:color w:val="auto"/>
        </w:rPr>
        <w:t>3</w:t>
      </w:r>
      <w:r w:rsidR="0025342E" w:rsidRPr="0090051E">
        <w:rPr>
          <w:i/>
          <w:color w:val="auto"/>
        </w:rPr>
        <w:t xml:space="preserve"> </w:t>
      </w:r>
      <w:r w:rsidR="008369EF" w:rsidRPr="0090051E">
        <w:rPr>
          <w:i/>
          <w:color w:val="auto"/>
        </w:rPr>
        <w:t xml:space="preserve">Voluntary Cancelation </w:t>
      </w:r>
      <w:r w:rsidR="0025342E" w:rsidRPr="0090051E">
        <w:rPr>
          <w:i/>
          <w:color w:val="auto"/>
        </w:rPr>
        <w:t>of Coverage</w:t>
      </w:r>
      <w:bookmarkEnd w:id="76"/>
    </w:p>
    <w:p w14:paraId="7E0CC2A9" w14:textId="31BE14C4" w:rsidR="00165700" w:rsidRPr="0090051E" w:rsidRDefault="00165700" w:rsidP="00D70042">
      <w:r w:rsidRPr="0090051E">
        <w:t xml:space="preserve">Voluntary cancelations of coverage, excluding those allowed by a qualifying event as defined in </w:t>
      </w:r>
      <w:hyperlink w:anchor="_6.2_Qualifying_events" w:history="1">
        <w:r w:rsidRPr="0090051E">
          <w:rPr>
            <w:rStyle w:val="Hyperlink"/>
          </w:rPr>
          <w:t>Section 6.2</w:t>
        </w:r>
      </w:hyperlink>
      <w:r w:rsidRPr="0090051E">
        <w:t xml:space="preserve">,including for any student, visiting student, Other Eligible Individual and any enrolled dependents, may only occur during </w:t>
      </w:r>
      <w:r w:rsidR="00090621" w:rsidRPr="0090051E">
        <w:t xml:space="preserve">the </w:t>
      </w:r>
      <w:r w:rsidRPr="0090051E">
        <w:t xml:space="preserve">Open Enrollment Period as described in </w:t>
      </w:r>
      <w:hyperlink w:anchor="_7.1_Open_Enrollment" w:history="1">
        <w:r w:rsidRPr="0090051E">
          <w:rPr>
            <w:rStyle w:val="Hyperlink"/>
          </w:rPr>
          <w:t>Section 6.1</w:t>
        </w:r>
      </w:hyperlink>
      <w:r w:rsidRPr="0090051E">
        <w:t xml:space="preserve">. </w:t>
      </w:r>
    </w:p>
    <w:p w14:paraId="2305FB15" w14:textId="77777777" w:rsidR="0019478E" w:rsidRPr="0090051E" w:rsidRDefault="0019478E" w:rsidP="00D70042"/>
    <w:p w14:paraId="377E2182" w14:textId="025BFE7F" w:rsidR="0019478E" w:rsidRPr="0090051E" w:rsidRDefault="001D7147" w:rsidP="00D70042">
      <w:pPr>
        <w:pStyle w:val="Heading2"/>
        <w:spacing w:before="0" w:after="120"/>
        <w:rPr>
          <w:i/>
          <w:color w:val="auto"/>
        </w:rPr>
      </w:pPr>
      <w:bookmarkStart w:id="77" w:name="_Toc232415519"/>
      <w:r w:rsidRPr="0090051E">
        <w:rPr>
          <w:i/>
          <w:color w:val="auto"/>
        </w:rPr>
        <w:t>7</w:t>
      </w:r>
      <w:r w:rsidR="0019478E" w:rsidRPr="0090051E">
        <w:rPr>
          <w:i/>
          <w:color w:val="auto"/>
        </w:rPr>
        <w:t>.</w:t>
      </w:r>
      <w:r w:rsidR="005C374C" w:rsidRPr="0090051E">
        <w:rPr>
          <w:i/>
          <w:color w:val="auto"/>
        </w:rPr>
        <w:t>4</w:t>
      </w:r>
      <w:r w:rsidR="0019478E" w:rsidRPr="0090051E">
        <w:rPr>
          <w:i/>
          <w:color w:val="auto"/>
        </w:rPr>
        <w:t xml:space="preserve"> Termination of Coverage</w:t>
      </w:r>
      <w:r w:rsidR="00D00369" w:rsidRPr="0090051E">
        <w:rPr>
          <w:i/>
          <w:color w:val="auto"/>
        </w:rPr>
        <w:t xml:space="preserve"> for</w:t>
      </w:r>
      <w:r w:rsidR="007D0961" w:rsidRPr="0090051E">
        <w:rPr>
          <w:i/>
          <w:color w:val="auto"/>
        </w:rPr>
        <w:t xml:space="preserve"> Loss of Eligibility</w:t>
      </w:r>
      <w:r w:rsidR="008F4F64" w:rsidRPr="0090051E">
        <w:rPr>
          <w:i/>
          <w:color w:val="auto"/>
        </w:rPr>
        <w:t xml:space="preserve"> – </w:t>
      </w:r>
      <w:r w:rsidR="00D00369" w:rsidRPr="0090051E">
        <w:rPr>
          <w:i/>
          <w:color w:val="auto"/>
        </w:rPr>
        <w:t>Students</w:t>
      </w:r>
      <w:bookmarkEnd w:id="77"/>
    </w:p>
    <w:p w14:paraId="7CD839A3" w14:textId="354933FB" w:rsidR="0019478E" w:rsidRPr="0090051E" w:rsidRDefault="0019478E" w:rsidP="00D70042">
      <w:r w:rsidRPr="0090051E">
        <w:t>In the</w:t>
      </w:r>
      <w:r w:rsidR="008225FB" w:rsidRPr="0090051E">
        <w:t xml:space="preserve"> </w:t>
      </w:r>
      <w:r w:rsidR="00D00369" w:rsidRPr="0090051E">
        <w:t xml:space="preserve">event that an enrolled student </w:t>
      </w:r>
      <w:r w:rsidRPr="0090051E">
        <w:t xml:space="preserve">or any of their enrolled dependents, ceases to be eligible for enrollment in </w:t>
      </w:r>
      <w:r w:rsidR="00FB5E2A" w:rsidRPr="0090051E">
        <w:t xml:space="preserve">the </w:t>
      </w:r>
      <w:r w:rsidR="00E5735C" w:rsidRPr="0090051E">
        <w:t>MIT Student Health Insurance Plan</w:t>
      </w:r>
      <w:r w:rsidRPr="0090051E">
        <w:t xml:space="preserve">, their coverage will end as of the last day of the </w:t>
      </w:r>
      <w:r w:rsidR="00EB0AFF" w:rsidRPr="0090051E">
        <w:t>health plan coverage period for which they have paid in full</w:t>
      </w:r>
      <w:r w:rsidR="00A6656E" w:rsidRPr="0090051E">
        <w:t xml:space="preserve">, except where otherwise defined in </w:t>
      </w:r>
      <w:hyperlink w:anchor="_1.0_Students" w:history="1">
        <w:r w:rsidR="00A6656E" w:rsidRPr="0090051E">
          <w:rPr>
            <w:rStyle w:val="Hyperlink"/>
          </w:rPr>
          <w:t>Section 1</w:t>
        </w:r>
      </w:hyperlink>
      <w:r w:rsidR="00EB0AFF" w:rsidRPr="0090051E">
        <w:t>.</w:t>
      </w:r>
    </w:p>
    <w:p w14:paraId="0E281203" w14:textId="5E5CA499" w:rsidR="00767555" w:rsidRPr="0090051E" w:rsidRDefault="00767555" w:rsidP="00D70042">
      <w:r w:rsidRPr="0090051E">
        <w:t xml:space="preserve">A student who is enrolled in the </w:t>
      </w:r>
      <w:r w:rsidR="00E5735C" w:rsidRPr="0090051E">
        <w:t xml:space="preserve">MIT Student Health Insurance Plan </w:t>
      </w:r>
      <w:r w:rsidRPr="0090051E">
        <w:t>who completes his/her degree program prior to the end date of the health plan coverage period due to early completion of thesis or graduation will continue to be covered enrolled through the remainder of the health plan coverage period.</w:t>
      </w:r>
    </w:p>
    <w:p w14:paraId="3247B0DE" w14:textId="77777777" w:rsidR="00913562" w:rsidRPr="0090051E" w:rsidRDefault="00913562" w:rsidP="00D70042"/>
    <w:p w14:paraId="0358FBD6" w14:textId="7452BD01" w:rsidR="00D00369" w:rsidRPr="0090051E" w:rsidRDefault="001D7147" w:rsidP="00D70042">
      <w:pPr>
        <w:pStyle w:val="Heading2"/>
        <w:spacing w:before="0" w:after="120"/>
        <w:rPr>
          <w:i/>
          <w:color w:val="auto"/>
        </w:rPr>
      </w:pPr>
      <w:bookmarkStart w:id="78" w:name="_Toc232415520"/>
      <w:r w:rsidRPr="0090051E">
        <w:rPr>
          <w:i/>
          <w:color w:val="auto"/>
        </w:rPr>
        <w:t>7</w:t>
      </w:r>
      <w:r w:rsidR="00D00369" w:rsidRPr="0090051E">
        <w:rPr>
          <w:i/>
          <w:color w:val="auto"/>
        </w:rPr>
        <w:t>.</w:t>
      </w:r>
      <w:r w:rsidR="005C374C" w:rsidRPr="0090051E">
        <w:rPr>
          <w:i/>
          <w:color w:val="auto"/>
        </w:rPr>
        <w:t>5</w:t>
      </w:r>
      <w:r w:rsidR="00D00369" w:rsidRPr="0090051E">
        <w:rPr>
          <w:i/>
          <w:color w:val="auto"/>
        </w:rPr>
        <w:t xml:space="preserve"> Termination of Coverage</w:t>
      </w:r>
      <w:r w:rsidR="008F4F64" w:rsidRPr="0090051E">
        <w:rPr>
          <w:i/>
          <w:color w:val="auto"/>
        </w:rPr>
        <w:t xml:space="preserve"> for Loss of Eligibility – </w:t>
      </w:r>
      <w:r w:rsidR="001A4D46" w:rsidRPr="0090051E">
        <w:rPr>
          <w:i/>
          <w:color w:val="auto"/>
        </w:rPr>
        <w:t>Visiting Students</w:t>
      </w:r>
      <w:bookmarkEnd w:id="78"/>
    </w:p>
    <w:p w14:paraId="07C1E34A" w14:textId="2CE3DC94" w:rsidR="00D00369" w:rsidRPr="0090051E" w:rsidRDefault="00D00369" w:rsidP="00D70042">
      <w:r w:rsidRPr="0090051E">
        <w:t>Enrollment for a</w:t>
      </w:r>
      <w:r w:rsidR="001A4D46" w:rsidRPr="0090051E">
        <w:t xml:space="preserve"> vising student</w:t>
      </w:r>
      <w:r w:rsidRPr="0090051E">
        <w:t xml:space="preserve"> and any associated dependents in the </w:t>
      </w:r>
      <w:r w:rsidR="00E5735C" w:rsidRPr="0090051E">
        <w:t xml:space="preserve">MIT Student Health Insurance Plan </w:t>
      </w:r>
      <w:r w:rsidRPr="0090051E">
        <w:t xml:space="preserve">will terminate </w:t>
      </w:r>
      <w:r w:rsidR="00280A17" w:rsidRPr="0090051E">
        <w:t>as of the last day of the calendar month in</w:t>
      </w:r>
      <w:r w:rsidRPr="0090051E">
        <w:t xml:space="preserve"> which the </w:t>
      </w:r>
      <w:r w:rsidR="001A4D46" w:rsidRPr="0090051E">
        <w:t xml:space="preserve">visiting student’s </w:t>
      </w:r>
      <w:r w:rsidRPr="0090051E">
        <w:t>appointment at MIT ends.</w:t>
      </w:r>
    </w:p>
    <w:p w14:paraId="31319DEE" w14:textId="77777777" w:rsidR="00952805" w:rsidRPr="0090051E" w:rsidRDefault="00952805" w:rsidP="00D70042"/>
    <w:p w14:paraId="59758D03" w14:textId="7FAC429E" w:rsidR="00952805" w:rsidRPr="0090051E" w:rsidRDefault="001D7147" w:rsidP="00D70042">
      <w:pPr>
        <w:pStyle w:val="Heading2"/>
        <w:spacing w:before="0" w:after="120"/>
        <w:rPr>
          <w:i/>
          <w:color w:val="auto"/>
        </w:rPr>
      </w:pPr>
      <w:bookmarkStart w:id="79" w:name="_Toc232415521"/>
      <w:r w:rsidRPr="0090051E">
        <w:rPr>
          <w:i/>
          <w:color w:val="auto"/>
        </w:rPr>
        <w:t>7</w:t>
      </w:r>
      <w:r w:rsidR="00952805" w:rsidRPr="0090051E">
        <w:rPr>
          <w:i/>
          <w:color w:val="auto"/>
        </w:rPr>
        <w:t>.6 Termination of Coverage for Loss of Eligibility – Other Eligible Individuals</w:t>
      </w:r>
      <w:bookmarkEnd w:id="79"/>
    </w:p>
    <w:p w14:paraId="0DAF893B" w14:textId="77C565EF" w:rsidR="003A5F8B" w:rsidRPr="0090051E" w:rsidRDefault="00952805" w:rsidP="003A5F8B">
      <w:r w:rsidRPr="0090051E">
        <w:t>Enrollment for other eligible individuals and any associated dependents in the MIT Student Health Insurance Plan will terminate as of the last day of the calendar month in which the other eligible individual’s appointment at MIT ends.</w:t>
      </w:r>
    </w:p>
    <w:p w14:paraId="5CF7BECE" w14:textId="6AE46840" w:rsidR="005E46DC" w:rsidRPr="0090051E" w:rsidRDefault="005E46DC" w:rsidP="00D70042"/>
    <w:p w14:paraId="275FD561" w14:textId="77777777" w:rsidR="00F15265" w:rsidRPr="0090051E" w:rsidRDefault="00F15265" w:rsidP="00D70042">
      <w:pPr>
        <w:sectPr w:rsidR="00F15265" w:rsidRPr="0090051E" w:rsidSect="00BA68BD">
          <w:pgSz w:w="12240" w:h="15840"/>
          <w:pgMar w:top="1440" w:right="1440" w:bottom="1440" w:left="1440" w:header="720" w:footer="720" w:gutter="0"/>
          <w:cols w:space="720"/>
          <w:docGrid w:linePitch="360"/>
        </w:sectPr>
      </w:pPr>
    </w:p>
    <w:p w14:paraId="2289BD56" w14:textId="30ECB07B" w:rsidR="00F15265" w:rsidRPr="0090051E" w:rsidRDefault="00363224" w:rsidP="00D70042">
      <w:pPr>
        <w:pStyle w:val="Heading1"/>
        <w:spacing w:before="0" w:after="240"/>
        <w:rPr>
          <w:b/>
          <w:color w:val="C00000"/>
        </w:rPr>
      </w:pPr>
      <w:bookmarkStart w:id="80" w:name="_Toc232415522"/>
      <w:r w:rsidRPr="0090051E">
        <w:rPr>
          <w:b/>
          <w:color w:val="C00000"/>
        </w:rPr>
        <w:lastRenderedPageBreak/>
        <w:t>8</w:t>
      </w:r>
      <w:r w:rsidR="00F15265" w:rsidRPr="0090051E">
        <w:rPr>
          <w:b/>
          <w:color w:val="C00000"/>
        </w:rPr>
        <w:t>.0 Billing and Payment</w:t>
      </w:r>
      <w:bookmarkEnd w:id="80"/>
    </w:p>
    <w:p w14:paraId="19315094" w14:textId="221E793A" w:rsidR="00F15265" w:rsidRPr="0090051E" w:rsidRDefault="00363224" w:rsidP="00D70042">
      <w:pPr>
        <w:pStyle w:val="Heading2"/>
        <w:spacing w:before="0" w:after="120"/>
        <w:rPr>
          <w:i/>
          <w:color w:val="auto"/>
        </w:rPr>
      </w:pPr>
      <w:bookmarkStart w:id="81" w:name="_Toc232415523"/>
      <w:r w:rsidRPr="0090051E">
        <w:rPr>
          <w:i/>
          <w:color w:val="auto"/>
        </w:rPr>
        <w:t>8</w:t>
      </w:r>
      <w:r w:rsidR="00F15265" w:rsidRPr="0090051E">
        <w:rPr>
          <w:i/>
          <w:color w:val="auto"/>
        </w:rPr>
        <w:t xml:space="preserve">.1 </w:t>
      </w:r>
      <w:proofErr w:type="spellStart"/>
      <w:r w:rsidR="005B5CE4" w:rsidRPr="0090051E">
        <w:rPr>
          <w:i/>
          <w:color w:val="auto"/>
        </w:rPr>
        <w:t>MITPay</w:t>
      </w:r>
      <w:proofErr w:type="spellEnd"/>
      <w:r w:rsidR="005B5CE4" w:rsidRPr="0090051E">
        <w:rPr>
          <w:i/>
          <w:color w:val="auto"/>
        </w:rPr>
        <w:t xml:space="preserve"> </w:t>
      </w:r>
      <w:r w:rsidR="00F15265" w:rsidRPr="0090051E">
        <w:rPr>
          <w:i/>
          <w:color w:val="auto"/>
        </w:rPr>
        <w:t>Billing</w:t>
      </w:r>
      <w:r w:rsidR="00576C84" w:rsidRPr="0090051E">
        <w:rPr>
          <w:i/>
          <w:color w:val="auto"/>
        </w:rPr>
        <w:t xml:space="preserve"> – Students</w:t>
      </w:r>
      <w:bookmarkEnd w:id="81"/>
    </w:p>
    <w:p w14:paraId="3B6A19AB" w14:textId="73AE7B1E" w:rsidR="00C1352B" w:rsidRPr="0090051E" w:rsidRDefault="00F15265" w:rsidP="00D70042">
      <w:r w:rsidRPr="0090051E">
        <w:t xml:space="preserve">The cost for most students enrolled in the </w:t>
      </w:r>
      <w:r w:rsidR="00E5735C" w:rsidRPr="0090051E">
        <w:t>MIT Student Health Insurance Plan</w:t>
      </w:r>
      <w:r w:rsidRPr="0090051E">
        <w:t xml:space="preserve">, as well as the costs of </w:t>
      </w:r>
      <w:r w:rsidR="004F27F4" w:rsidRPr="0090051E">
        <w:t>the</w:t>
      </w:r>
      <w:r w:rsidRPr="0090051E">
        <w:t xml:space="preserve"> </w:t>
      </w:r>
      <w:r w:rsidR="00E5735C" w:rsidRPr="0090051E">
        <w:t xml:space="preserve">MIT Student Health Insurance Plan </w:t>
      </w:r>
      <w:r w:rsidRPr="0090051E">
        <w:t xml:space="preserve">for a student’s enrolled spouse and dependents, will be charged to the student’s </w:t>
      </w:r>
      <w:proofErr w:type="spellStart"/>
      <w:r w:rsidR="005B5CE4" w:rsidRPr="0090051E">
        <w:t>MITPay</w:t>
      </w:r>
      <w:proofErr w:type="spellEnd"/>
      <w:r w:rsidRPr="0090051E">
        <w:t xml:space="preserve"> with Student Financial Services</w:t>
      </w:r>
      <w:r w:rsidR="00280A17" w:rsidRPr="0090051E">
        <w:t xml:space="preserve"> (SFS)</w:t>
      </w:r>
      <w:r w:rsidRPr="0090051E">
        <w:t xml:space="preserve">. Charges will be assessed on a per </w:t>
      </w:r>
      <w:r w:rsidR="004F48AE" w:rsidRPr="0090051E">
        <w:t xml:space="preserve">academic </w:t>
      </w:r>
      <w:r w:rsidRPr="0090051E">
        <w:t>term basis.</w:t>
      </w:r>
    </w:p>
    <w:p w14:paraId="7708F13A" w14:textId="777363B6" w:rsidR="00C1352B" w:rsidRPr="0090051E" w:rsidRDefault="00C1352B" w:rsidP="00C1352B"/>
    <w:p w14:paraId="745EE2B5" w14:textId="2EA32091" w:rsidR="00C1352B" w:rsidRPr="0090051E" w:rsidRDefault="00C1352B" w:rsidP="00C1352B">
      <w:pPr>
        <w:pStyle w:val="Heading2"/>
        <w:spacing w:before="0" w:after="120"/>
        <w:rPr>
          <w:i/>
          <w:color w:val="auto"/>
        </w:rPr>
      </w:pPr>
      <w:bookmarkStart w:id="82" w:name="_Toc232415524"/>
      <w:r w:rsidRPr="0090051E">
        <w:rPr>
          <w:i/>
          <w:color w:val="auto"/>
        </w:rPr>
        <w:t>8.2 Billing – Visiting Students</w:t>
      </w:r>
      <w:bookmarkEnd w:id="82"/>
    </w:p>
    <w:p w14:paraId="565D2A8D" w14:textId="5E148722" w:rsidR="00576C84" w:rsidRPr="0090051E" w:rsidRDefault="00DA3FA6" w:rsidP="00D70042">
      <w:bookmarkStart w:id="83" w:name="_8.2_Monthly_Billing"/>
      <w:bookmarkEnd w:id="83"/>
      <w:r w:rsidRPr="0090051E">
        <w:t xml:space="preserve">Visiting Students, as defined in </w:t>
      </w:r>
      <w:hyperlink w:anchor="_2.0_Visiting_Students" w:history="1">
        <w:r w:rsidRPr="0090051E">
          <w:rPr>
            <w:rStyle w:val="Hyperlink"/>
          </w:rPr>
          <w:t>Section 2.0</w:t>
        </w:r>
      </w:hyperlink>
      <w:r w:rsidRPr="0090051E">
        <w:t>, will be as</w:t>
      </w:r>
      <w:r w:rsidR="00F46E42" w:rsidRPr="0090051E">
        <w:t xml:space="preserve"> enrollees will be billed </w:t>
      </w:r>
      <w:r w:rsidR="00881034" w:rsidRPr="0090051E">
        <w:t xml:space="preserve">for their health insurance premiums </w:t>
      </w:r>
      <w:r w:rsidR="00F46E42" w:rsidRPr="0090051E">
        <w:t>on a monthly basis</w:t>
      </w:r>
      <w:r w:rsidR="005F5E1F" w:rsidRPr="0090051E">
        <w:t xml:space="preserve"> through MIT’s Non-Institute </w:t>
      </w:r>
      <w:r w:rsidR="00060E8F" w:rsidRPr="0090051E">
        <w:t>Visitor</w:t>
      </w:r>
      <w:r w:rsidR="005F5E1F" w:rsidRPr="0090051E">
        <w:t xml:space="preserve"> </w:t>
      </w:r>
      <w:r w:rsidR="00060E8F" w:rsidRPr="0090051E">
        <w:t>Portal.</w:t>
      </w:r>
    </w:p>
    <w:p w14:paraId="15AAAC8F" w14:textId="77777777" w:rsidR="00E25848" w:rsidRPr="0090051E" w:rsidRDefault="00E25848" w:rsidP="00D70042"/>
    <w:p w14:paraId="6392FA6B" w14:textId="4ABDB912" w:rsidR="00E25848" w:rsidRPr="0090051E" w:rsidRDefault="00E25848" w:rsidP="00D70042">
      <w:pPr>
        <w:rPr>
          <w:rFonts w:asciiTheme="majorHAnsi" w:eastAsiaTheme="majorEastAsia" w:hAnsiTheme="majorHAnsi" w:cstheme="majorBidi"/>
          <w:i/>
          <w:sz w:val="26"/>
          <w:szCs w:val="26"/>
        </w:rPr>
      </w:pPr>
      <w:r w:rsidRPr="0090051E">
        <w:rPr>
          <w:rFonts w:asciiTheme="majorHAnsi" w:eastAsiaTheme="majorEastAsia" w:hAnsiTheme="majorHAnsi" w:cstheme="majorBidi"/>
          <w:i/>
          <w:sz w:val="26"/>
          <w:szCs w:val="26"/>
        </w:rPr>
        <w:t>8.3 – Other Eligible Individuals</w:t>
      </w:r>
    </w:p>
    <w:p w14:paraId="638A66BB" w14:textId="3149B452" w:rsidR="00E25848" w:rsidRPr="0090051E" w:rsidRDefault="005B6E2F" w:rsidP="00D70042">
      <w:r w:rsidRPr="0090051E">
        <w:t xml:space="preserve">The cost for </w:t>
      </w:r>
      <w:r w:rsidR="00BE54BE" w:rsidRPr="0090051E">
        <w:t>Other Eligible Individuals enrolled in the MIT Student Health Insurance Plan, as well as the cost of the MIT Student Health Insurance Plan for a student’s enrolled spouse and dependents</w:t>
      </w:r>
      <w:r w:rsidR="00A804ED" w:rsidRPr="0090051E">
        <w:t xml:space="preserve">, will be charged to a combination of the Other Eligible Individual and their Department, Laboratory, Center or Institute. </w:t>
      </w:r>
      <w:r w:rsidR="00073404" w:rsidRPr="0090051E">
        <w:t xml:space="preserve">At the time of enrollment, the Other Eligible Individual must identify their Department, Laboratory, Center or Institute and their administrative contact. </w:t>
      </w:r>
      <w:r w:rsidR="00A804ED" w:rsidRPr="0090051E">
        <w:t>Costs due from the Other Eligible Individual will be paid directly to the MIT Student Insurance Office</w:t>
      </w:r>
      <w:r w:rsidR="004B7BF8" w:rsidRPr="0090051E">
        <w:t xml:space="preserve"> upon </w:t>
      </w:r>
      <w:r w:rsidR="00F72653" w:rsidRPr="0090051E">
        <w:t>receipt</w:t>
      </w:r>
      <w:r w:rsidR="004B7BF8" w:rsidRPr="0090051E">
        <w:t xml:space="preserve"> of a </w:t>
      </w:r>
      <w:r w:rsidR="00BD1A32" w:rsidRPr="0090051E">
        <w:t>statement</w:t>
      </w:r>
      <w:r w:rsidR="004B7BF8" w:rsidRPr="0090051E">
        <w:t xml:space="preserve">. Costs </w:t>
      </w:r>
      <w:r w:rsidR="00773ED3" w:rsidRPr="0090051E">
        <w:t>due from the Department, Laboratory, Center or Institute will be collected directly from the</w:t>
      </w:r>
      <w:r w:rsidR="005C39B1" w:rsidRPr="0090051E">
        <w:t xml:space="preserve"> Department, Laboratory, Center or Institute</w:t>
      </w:r>
      <w:r w:rsidR="00073404" w:rsidRPr="0090051E">
        <w:t>.</w:t>
      </w:r>
    </w:p>
    <w:p w14:paraId="34418894" w14:textId="77777777" w:rsidR="00E25848" w:rsidRPr="0090051E" w:rsidRDefault="00E25848" w:rsidP="00D70042"/>
    <w:p w14:paraId="7C1F9327" w14:textId="0B87D0F7" w:rsidR="00E25848" w:rsidRPr="0090051E" w:rsidRDefault="00E25848" w:rsidP="00D70042">
      <w:r w:rsidRPr="0090051E">
        <w:rPr>
          <w:rFonts w:asciiTheme="majorHAnsi" w:eastAsiaTheme="majorEastAsia" w:hAnsiTheme="majorHAnsi" w:cstheme="majorBidi"/>
          <w:i/>
          <w:sz w:val="26"/>
          <w:szCs w:val="26"/>
        </w:rPr>
        <w:t>8.4 Proration for Mid-month Enrollments</w:t>
      </w:r>
    </w:p>
    <w:p w14:paraId="7FAE84FD" w14:textId="77777777" w:rsidR="00E25848" w:rsidRPr="0090051E" w:rsidRDefault="00E25848" w:rsidP="00E25848">
      <w:r w:rsidRPr="0090051E">
        <w:t>In cases where the effective date of coverage is not the first calendar day of a month, the following proration rules will apply:</w:t>
      </w:r>
    </w:p>
    <w:p w14:paraId="6530CFB9" w14:textId="77777777" w:rsidR="00E25848" w:rsidRPr="0090051E" w:rsidRDefault="00E25848" w:rsidP="00E25848">
      <w:pPr>
        <w:pStyle w:val="ListParagraph"/>
        <w:numPr>
          <w:ilvl w:val="0"/>
          <w:numId w:val="14"/>
        </w:numPr>
      </w:pPr>
      <w:r w:rsidRPr="0090051E">
        <w:t>If the effective date of coverage is on or before the fifteenth (15</w:t>
      </w:r>
      <w:r w:rsidRPr="0090051E">
        <w:rPr>
          <w:vertAlign w:val="superscript"/>
        </w:rPr>
        <w:t>th</w:t>
      </w:r>
      <w:r w:rsidRPr="0090051E">
        <w:t>) calendar day of the month, the enrollee will be charged the full premium for the month; or</w:t>
      </w:r>
    </w:p>
    <w:p w14:paraId="1C9DE91D" w14:textId="77777777" w:rsidR="00E25848" w:rsidRPr="0090051E" w:rsidRDefault="00E25848" w:rsidP="00E25848">
      <w:pPr>
        <w:pStyle w:val="ListParagraph"/>
        <w:numPr>
          <w:ilvl w:val="0"/>
          <w:numId w:val="14"/>
        </w:numPr>
      </w:pPr>
      <w:r w:rsidRPr="0090051E">
        <w:t>If the effective date of coverage is after the fifteenth (15</w:t>
      </w:r>
      <w:r w:rsidRPr="0090051E">
        <w:rPr>
          <w:vertAlign w:val="superscript"/>
        </w:rPr>
        <w:t>th</w:t>
      </w:r>
      <w:r w:rsidRPr="0090051E">
        <w:t>) calendar day of the month, the enrollee will not be charged the premium for the month.</w:t>
      </w:r>
    </w:p>
    <w:p w14:paraId="61EAAE12" w14:textId="7104CF81" w:rsidR="00E25848" w:rsidRPr="0090051E" w:rsidRDefault="00E25848" w:rsidP="00E25848">
      <w:r w:rsidRPr="0090051E">
        <w:t>In cases where the termination date of coverage is not the last calendar day of a month, the enrollee will be charged the full premium for the month.</w:t>
      </w:r>
    </w:p>
    <w:p w14:paraId="08C9EF86" w14:textId="77777777" w:rsidR="00D652A3" w:rsidRPr="0090051E" w:rsidRDefault="00D652A3" w:rsidP="00D70042">
      <w:bookmarkStart w:id="84" w:name="_8.2.4_Delinquency_and"/>
      <w:bookmarkEnd w:id="84"/>
    </w:p>
    <w:p w14:paraId="306C755C" w14:textId="77777777" w:rsidR="00050ED9" w:rsidRPr="0090051E" w:rsidRDefault="00050ED9" w:rsidP="00D70042">
      <w:pPr>
        <w:sectPr w:rsidR="00050ED9" w:rsidRPr="0090051E" w:rsidSect="00BA68BD">
          <w:pgSz w:w="12240" w:h="15840"/>
          <w:pgMar w:top="1440" w:right="1440" w:bottom="1440" w:left="1440" w:header="720" w:footer="720" w:gutter="0"/>
          <w:cols w:space="720"/>
          <w:docGrid w:linePitch="360"/>
        </w:sectPr>
      </w:pPr>
    </w:p>
    <w:p w14:paraId="4BDF235D" w14:textId="48936EA3" w:rsidR="00050ED9" w:rsidRPr="0090051E" w:rsidRDefault="00363224" w:rsidP="00D70042">
      <w:pPr>
        <w:pStyle w:val="Heading1"/>
        <w:spacing w:before="0" w:after="240"/>
        <w:rPr>
          <w:b/>
          <w:color w:val="C00000"/>
        </w:rPr>
      </w:pPr>
      <w:bookmarkStart w:id="85" w:name="_Toc232415525"/>
      <w:r w:rsidRPr="0090051E">
        <w:rPr>
          <w:b/>
          <w:color w:val="C00000"/>
        </w:rPr>
        <w:lastRenderedPageBreak/>
        <w:t>9</w:t>
      </w:r>
      <w:r w:rsidR="00050ED9" w:rsidRPr="0090051E">
        <w:rPr>
          <w:b/>
          <w:color w:val="C00000"/>
        </w:rPr>
        <w:t xml:space="preserve">.0 Care at MIT </w:t>
      </w:r>
      <w:r w:rsidR="00C536AA" w:rsidRPr="0090051E">
        <w:rPr>
          <w:b/>
          <w:color w:val="C00000"/>
        </w:rPr>
        <w:t>Health</w:t>
      </w:r>
      <w:bookmarkEnd w:id="85"/>
    </w:p>
    <w:p w14:paraId="4A5C7190" w14:textId="305250EC" w:rsidR="00050ED9" w:rsidRPr="0090051E" w:rsidRDefault="00363224" w:rsidP="00D70042">
      <w:pPr>
        <w:pStyle w:val="Heading2"/>
        <w:spacing w:before="0" w:after="120"/>
        <w:rPr>
          <w:i/>
          <w:color w:val="auto"/>
        </w:rPr>
      </w:pPr>
      <w:bookmarkStart w:id="86" w:name="_9.1_Active_Students"/>
      <w:bookmarkStart w:id="87" w:name="_Toc232415526"/>
      <w:bookmarkEnd w:id="86"/>
      <w:r w:rsidRPr="0090051E">
        <w:rPr>
          <w:i/>
          <w:color w:val="auto"/>
        </w:rPr>
        <w:t>9</w:t>
      </w:r>
      <w:r w:rsidR="00050ED9" w:rsidRPr="0090051E">
        <w:rPr>
          <w:i/>
          <w:color w:val="auto"/>
        </w:rPr>
        <w:t xml:space="preserve">.1 </w:t>
      </w:r>
      <w:r w:rsidR="0011080D" w:rsidRPr="0090051E">
        <w:rPr>
          <w:i/>
          <w:color w:val="auto"/>
        </w:rPr>
        <w:t>Active Students</w:t>
      </w:r>
      <w:bookmarkEnd w:id="87"/>
    </w:p>
    <w:p w14:paraId="254FA360" w14:textId="28115B8E" w:rsidR="00F7655B" w:rsidRPr="0090051E" w:rsidRDefault="005A11AB" w:rsidP="00D70042">
      <w:r w:rsidRPr="0090051E">
        <w:t>For all</w:t>
      </w:r>
      <w:r w:rsidR="00F7655B" w:rsidRPr="0090051E">
        <w:t xml:space="preserve"> active students</w:t>
      </w:r>
      <w:r w:rsidRPr="0090051E">
        <w:t xml:space="preserve">, </w:t>
      </w:r>
      <w:r w:rsidR="00F7655B" w:rsidRPr="0090051E">
        <w:t>care</w:t>
      </w:r>
      <w:r w:rsidR="004E6B5B" w:rsidRPr="0090051E">
        <w:t xml:space="preserve"> provided</w:t>
      </w:r>
      <w:r w:rsidR="00F7655B" w:rsidRPr="0090051E">
        <w:t xml:space="preserve"> at MIT </w:t>
      </w:r>
      <w:r w:rsidR="00C536AA" w:rsidRPr="0090051E">
        <w:t xml:space="preserve">Health </w:t>
      </w:r>
      <w:r w:rsidR="004E6B5B" w:rsidRPr="0090051E">
        <w:t xml:space="preserve">will not have any </w:t>
      </w:r>
      <w:r w:rsidR="00F7655B" w:rsidRPr="0090051E">
        <w:t>additional costs, with limited exceptions</w:t>
      </w:r>
      <w:r w:rsidRPr="0090051E">
        <w:t xml:space="preserve"> as specified in </w:t>
      </w:r>
      <w:hyperlink w:anchor="_9.3_Exclusions" w:history="1">
        <w:r w:rsidRPr="0090051E">
          <w:rPr>
            <w:rStyle w:val="Hyperlink"/>
          </w:rPr>
          <w:t>Section 9.3</w:t>
        </w:r>
      </w:hyperlink>
      <w:r w:rsidR="00092668" w:rsidRPr="0090051E">
        <w:t>.</w:t>
      </w:r>
    </w:p>
    <w:p w14:paraId="217B382D" w14:textId="4D9D47C5" w:rsidR="00B846BA" w:rsidRPr="0090051E" w:rsidRDefault="00612DA3" w:rsidP="00D70042">
      <w:r w:rsidRPr="0090051E">
        <w:t xml:space="preserve">For purposes of care at MIT </w:t>
      </w:r>
      <w:r w:rsidR="00C536AA" w:rsidRPr="0090051E">
        <w:t>Health</w:t>
      </w:r>
      <w:r w:rsidRPr="0090051E">
        <w:t>, the following student statuses will be considered as active students:</w:t>
      </w:r>
    </w:p>
    <w:p w14:paraId="4C17E81C" w14:textId="26629260" w:rsidR="00612DA3" w:rsidRPr="0090051E" w:rsidRDefault="00612DA3">
      <w:pPr>
        <w:pStyle w:val="ListParagraph"/>
        <w:numPr>
          <w:ilvl w:val="0"/>
          <w:numId w:val="16"/>
        </w:numPr>
      </w:pPr>
      <w:r w:rsidRPr="0090051E">
        <w:t>Students who are registered or eligible to register;</w:t>
      </w:r>
    </w:p>
    <w:p w14:paraId="2D20D568" w14:textId="1BE3B563" w:rsidR="00612DA3" w:rsidRPr="0090051E" w:rsidRDefault="00612DA3">
      <w:pPr>
        <w:pStyle w:val="ListParagraph"/>
        <w:numPr>
          <w:ilvl w:val="0"/>
          <w:numId w:val="16"/>
        </w:numPr>
      </w:pPr>
      <w:r w:rsidRPr="0090051E">
        <w:t>Students in early thesis;</w:t>
      </w:r>
    </w:p>
    <w:p w14:paraId="6B155A32" w14:textId="4194DF46" w:rsidR="00612DA3" w:rsidRPr="0090051E" w:rsidRDefault="00612DA3">
      <w:pPr>
        <w:pStyle w:val="ListParagraph"/>
        <w:numPr>
          <w:ilvl w:val="0"/>
          <w:numId w:val="16"/>
        </w:numPr>
      </w:pPr>
      <w:r w:rsidRPr="0090051E">
        <w:t>Students participating in a co-op;</w:t>
      </w:r>
    </w:p>
    <w:p w14:paraId="34758D19" w14:textId="7EC601B8" w:rsidR="00612DA3" w:rsidRPr="0090051E" w:rsidRDefault="00612DA3">
      <w:pPr>
        <w:pStyle w:val="ListParagraph"/>
        <w:numPr>
          <w:ilvl w:val="0"/>
          <w:numId w:val="16"/>
        </w:numPr>
      </w:pPr>
      <w:r w:rsidRPr="0090051E">
        <w:t>Students participating in a study abroad program; and</w:t>
      </w:r>
    </w:p>
    <w:p w14:paraId="1EF9CB00" w14:textId="5690226A" w:rsidR="00612DA3" w:rsidRPr="0090051E" w:rsidRDefault="00612DA3">
      <w:pPr>
        <w:pStyle w:val="ListParagraph"/>
        <w:numPr>
          <w:ilvl w:val="0"/>
          <w:numId w:val="16"/>
        </w:numPr>
      </w:pPr>
      <w:r w:rsidRPr="0090051E">
        <w:t>Students who withdraw,</w:t>
      </w:r>
      <w:r w:rsidR="00FE4FB3" w:rsidRPr="0090051E">
        <w:t xml:space="preserve"> but only</w:t>
      </w:r>
      <w:r w:rsidRPr="0090051E">
        <w:t xml:space="preserve"> for the remainder of the health plan </w:t>
      </w:r>
      <w:r w:rsidR="00982B8C" w:rsidRPr="0090051E">
        <w:t>coverage period</w:t>
      </w:r>
      <w:r w:rsidRPr="0090051E">
        <w:t xml:space="preserve"> in which they withdraw.</w:t>
      </w:r>
    </w:p>
    <w:p w14:paraId="7F2E2A83" w14:textId="763D213D" w:rsidR="00EB2C64" w:rsidRPr="0090051E" w:rsidRDefault="00CC5993" w:rsidP="00D70042">
      <w:r w:rsidRPr="0090051E">
        <w:t>MIT Registrar’s Office is the sole source of data for student statuses. No changes in status will be accepted directly by any students.</w:t>
      </w:r>
    </w:p>
    <w:p w14:paraId="14F7D48B" w14:textId="77777777" w:rsidR="00CC5993" w:rsidRPr="0090051E" w:rsidRDefault="00CC5993" w:rsidP="00D70042"/>
    <w:p w14:paraId="0F7D9279" w14:textId="5B9AD410" w:rsidR="0011080D" w:rsidRPr="0090051E" w:rsidRDefault="0011080D" w:rsidP="0011080D">
      <w:pPr>
        <w:pStyle w:val="Heading2"/>
        <w:spacing w:before="0" w:after="120"/>
        <w:rPr>
          <w:i/>
          <w:color w:val="auto"/>
        </w:rPr>
      </w:pPr>
      <w:bookmarkStart w:id="88" w:name="_Toc232415527"/>
      <w:r w:rsidRPr="0090051E">
        <w:rPr>
          <w:i/>
          <w:color w:val="auto"/>
        </w:rPr>
        <w:t>9.</w:t>
      </w:r>
      <w:r w:rsidR="005A11AB" w:rsidRPr="0090051E">
        <w:rPr>
          <w:i/>
          <w:color w:val="auto"/>
        </w:rPr>
        <w:t>2</w:t>
      </w:r>
      <w:r w:rsidRPr="0090051E">
        <w:rPr>
          <w:i/>
          <w:color w:val="auto"/>
        </w:rPr>
        <w:t xml:space="preserve"> Other Individuals Enrolled </w:t>
      </w:r>
      <w:r w:rsidR="00F7655B" w:rsidRPr="0090051E">
        <w:rPr>
          <w:i/>
          <w:color w:val="auto"/>
        </w:rPr>
        <w:t>in the</w:t>
      </w:r>
      <w:r w:rsidRPr="0090051E">
        <w:rPr>
          <w:i/>
          <w:color w:val="auto"/>
        </w:rPr>
        <w:t xml:space="preserve"> MIT </w:t>
      </w:r>
      <w:r w:rsidR="00F7655B" w:rsidRPr="0090051E">
        <w:rPr>
          <w:i/>
          <w:color w:val="auto"/>
        </w:rPr>
        <w:t>Student Health Insurance Plan</w:t>
      </w:r>
      <w:bookmarkEnd w:id="88"/>
    </w:p>
    <w:p w14:paraId="5F68EC2B" w14:textId="25D726E3" w:rsidR="0011080D" w:rsidRPr="0090051E" w:rsidRDefault="005A11AB" w:rsidP="0011080D">
      <w:r w:rsidRPr="0090051E">
        <w:t>For individuals who are not active students</w:t>
      </w:r>
      <w:r w:rsidR="004E6B5B" w:rsidRPr="0090051E">
        <w:t xml:space="preserve"> </w:t>
      </w:r>
      <w:r w:rsidR="00090621" w:rsidRPr="0090051E">
        <w:t xml:space="preserve">as defined in </w:t>
      </w:r>
      <w:hyperlink w:anchor="_9.1_Active_Students" w:history="1">
        <w:r w:rsidR="00090621" w:rsidRPr="0090051E">
          <w:rPr>
            <w:rStyle w:val="Hyperlink"/>
          </w:rPr>
          <w:t>Section 9.1</w:t>
        </w:r>
      </w:hyperlink>
      <w:r w:rsidR="00090621" w:rsidRPr="0090051E">
        <w:t xml:space="preserve"> </w:t>
      </w:r>
      <w:r w:rsidRPr="0090051E">
        <w:t xml:space="preserve">but who are enrolled in the MIT Student Health Insurance Plan, </w:t>
      </w:r>
      <w:r w:rsidR="004E6B5B" w:rsidRPr="0090051E">
        <w:t xml:space="preserve">care provided at MIT </w:t>
      </w:r>
      <w:r w:rsidR="00C536AA" w:rsidRPr="0090051E">
        <w:t xml:space="preserve">Health </w:t>
      </w:r>
      <w:r w:rsidR="004E6B5B" w:rsidRPr="0090051E">
        <w:t>will not have any additional costs</w:t>
      </w:r>
      <w:r w:rsidRPr="0090051E">
        <w:t xml:space="preserve">, with limited exceptions as specified in </w:t>
      </w:r>
      <w:hyperlink w:anchor="_9.3_Exclusions" w:history="1">
        <w:r w:rsidRPr="0090051E">
          <w:rPr>
            <w:rStyle w:val="Hyperlink"/>
          </w:rPr>
          <w:t>Section 9.3</w:t>
        </w:r>
      </w:hyperlink>
      <w:r w:rsidRPr="0090051E">
        <w:t>.</w:t>
      </w:r>
    </w:p>
    <w:p w14:paraId="54A614E0" w14:textId="1BE2B691" w:rsidR="0011080D" w:rsidRPr="0090051E" w:rsidRDefault="0011080D" w:rsidP="00D70042"/>
    <w:p w14:paraId="09FD672C" w14:textId="46C7405A" w:rsidR="005A11AB" w:rsidRPr="0090051E" w:rsidRDefault="005A11AB" w:rsidP="005A11AB">
      <w:pPr>
        <w:pStyle w:val="Heading2"/>
        <w:spacing w:before="0" w:after="120"/>
        <w:rPr>
          <w:i/>
          <w:color w:val="auto"/>
        </w:rPr>
      </w:pPr>
      <w:bookmarkStart w:id="89" w:name="_9.3_Exclusions"/>
      <w:bookmarkStart w:id="90" w:name="_Toc232415528"/>
      <w:bookmarkEnd w:id="89"/>
      <w:r w:rsidRPr="0090051E">
        <w:rPr>
          <w:i/>
          <w:color w:val="auto"/>
        </w:rPr>
        <w:t>9.3 Exclusions</w:t>
      </w:r>
      <w:bookmarkEnd w:id="90"/>
    </w:p>
    <w:p w14:paraId="0DF6184F" w14:textId="3003F0C9" w:rsidR="005A11AB" w:rsidRPr="0090051E" w:rsidRDefault="005A11AB" w:rsidP="005A11AB">
      <w:r w:rsidRPr="0090051E">
        <w:t xml:space="preserve">The following services will not be provided without additional costs and will be billed to </w:t>
      </w:r>
      <w:r w:rsidR="009D485B" w:rsidRPr="0090051E">
        <w:t>the individual’s</w:t>
      </w:r>
      <w:r w:rsidRPr="0090051E">
        <w:t xml:space="preserve"> insurance</w:t>
      </w:r>
      <w:r w:rsidR="00665AE7" w:rsidRPr="0090051E">
        <w:t xml:space="preserve"> or directly to the individual</w:t>
      </w:r>
      <w:r w:rsidR="009D485B" w:rsidRPr="0090051E">
        <w:t>:</w:t>
      </w:r>
    </w:p>
    <w:p w14:paraId="0991010B" w14:textId="49FB8F88" w:rsidR="00F045D4" w:rsidRPr="0090051E" w:rsidRDefault="005A11AB">
      <w:pPr>
        <w:pStyle w:val="ListParagraph"/>
        <w:numPr>
          <w:ilvl w:val="0"/>
          <w:numId w:val="10"/>
        </w:numPr>
      </w:pPr>
      <w:r w:rsidRPr="0090051E">
        <w:t xml:space="preserve">Obstetrical care, including </w:t>
      </w:r>
      <w:r w:rsidR="00B337AA" w:rsidRPr="0090051E">
        <w:t>ante</w:t>
      </w:r>
      <w:r w:rsidRPr="0090051E">
        <w:t xml:space="preserve">partum and postpartum care provided at MIT </w:t>
      </w:r>
      <w:r w:rsidR="00C536AA" w:rsidRPr="0090051E">
        <w:t>Health</w:t>
      </w:r>
      <w:r w:rsidRPr="0090051E">
        <w:t>;</w:t>
      </w:r>
      <w:r w:rsidR="009D485B" w:rsidRPr="0090051E">
        <w:t xml:space="preserve"> </w:t>
      </w:r>
    </w:p>
    <w:p w14:paraId="1D2E8896" w14:textId="77777777" w:rsidR="008360DA" w:rsidRPr="0090051E" w:rsidRDefault="008360DA" w:rsidP="008360DA">
      <w:pPr>
        <w:pStyle w:val="ListParagraph"/>
        <w:numPr>
          <w:ilvl w:val="0"/>
          <w:numId w:val="10"/>
        </w:numPr>
      </w:pPr>
      <w:r w:rsidRPr="0090051E">
        <w:t>Routine eye care visits more frequently than once per twelve (12) calendar months;</w:t>
      </w:r>
    </w:p>
    <w:p w14:paraId="109CA077" w14:textId="16A53FCA" w:rsidR="00F045D4" w:rsidRPr="0090051E" w:rsidRDefault="00F045D4">
      <w:pPr>
        <w:pStyle w:val="ListParagraph"/>
        <w:numPr>
          <w:ilvl w:val="0"/>
          <w:numId w:val="10"/>
        </w:numPr>
      </w:pPr>
      <w:r w:rsidRPr="0090051E">
        <w:t>Contact lenses</w:t>
      </w:r>
      <w:r w:rsidR="00665AE7" w:rsidRPr="0090051E">
        <w:t xml:space="preserve">, </w:t>
      </w:r>
      <w:r w:rsidRPr="0090051E">
        <w:t>glasses</w:t>
      </w:r>
      <w:r w:rsidR="00665AE7" w:rsidRPr="0090051E">
        <w:t xml:space="preserve"> and associated supplies</w:t>
      </w:r>
      <w:r w:rsidRPr="0090051E">
        <w:t>;</w:t>
      </w:r>
    </w:p>
    <w:p w14:paraId="0F1E83BE" w14:textId="491B79B4" w:rsidR="00F045D4" w:rsidRPr="0090051E" w:rsidRDefault="00F045D4">
      <w:pPr>
        <w:pStyle w:val="ListParagraph"/>
        <w:numPr>
          <w:ilvl w:val="0"/>
          <w:numId w:val="10"/>
        </w:numPr>
      </w:pPr>
      <w:r w:rsidRPr="0090051E">
        <w:t>Acupuncture</w:t>
      </w:r>
      <w:r w:rsidR="00484B72" w:rsidRPr="0090051E">
        <w:t xml:space="preserve"> services</w:t>
      </w:r>
      <w:r w:rsidRPr="0090051E">
        <w:t>;</w:t>
      </w:r>
    </w:p>
    <w:p w14:paraId="3468FBB0" w14:textId="66AFD2F7" w:rsidR="00263AEA" w:rsidRPr="0090051E" w:rsidRDefault="00263AEA">
      <w:pPr>
        <w:pStyle w:val="ListParagraph"/>
        <w:numPr>
          <w:ilvl w:val="0"/>
          <w:numId w:val="10"/>
        </w:numPr>
      </w:pPr>
      <w:r w:rsidRPr="0090051E">
        <w:t>Physical therapy services;</w:t>
      </w:r>
    </w:p>
    <w:p w14:paraId="1C62510C" w14:textId="622009BF" w:rsidR="008360DA" w:rsidRPr="0090051E" w:rsidRDefault="008360DA">
      <w:pPr>
        <w:pStyle w:val="ListParagraph"/>
        <w:numPr>
          <w:ilvl w:val="0"/>
          <w:numId w:val="10"/>
        </w:numPr>
      </w:pPr>
      <w:r w:rsidRPr="0090051E">
        <w:t>Dermatology services;</w:t>
      </w:r>
    </w:p>
    <w:p w14:paraId="6DF6A17A" w14:textId="0527D729" w:rsidR="008360DA" w:rsidRPr="0090051E" w:rsidRDefault="008360DA">
      <w:pPr>
        <w:pStyle w:val="ListParagraph"/>
        <w:numPr>
          <w:ilvl w:val="0"/>
          <w:numId w:val="10"/>
        </w:numPr>
      </w:pPr>
      <w:r w:rsidRPr="0090051E">
        <w:t>Vaccinations required by the Commonwealth of Massachusetts prior to matriculation;</w:t>
      </w:r>
    </w:p>
    <w:p w14:paraId="7A427832" w14:textId="77777777" w:rsidR="008360DA" w:rsidRPr="0090051E" w:rsidRDefault="008360DA">
      <w:pPr>
        <w:pStyle w:val="ListParagraph"/>
        <w:numPr>
          <w:ilvl w:val="0"/>
          <w:numId w:val="10"/>
        </w:numPr>
      </w:pPr>
      <w:r w:rsidRPr="0090051E">
        <w:t>Immunotherapy serums, including if administered at MIT Health;</w:t>
      </w:r>
    </w:p>
    <w:p w14:paraId="764FBB3F" w14:textId="132869AC" w:rsidR="00FD4448" w:rsidRPr="0090051E" w:rsidRDefault="00FD4448">
      <w:pPr>
        <w:pStyle w:val="ListParagraph"/>
        <w:numPr>
          <w:ilvl w:val="0"/>
          <w:numId w:val="10"/>
        </w:numPr>
      </w:pPr>
      <w:r w:rsidRPr="0090051E">
        <w:t xml:space="preserve">Laboratory testing, </w:t>
      </w:r>
      <w:r w:rsidR="005B308C">
        <w:t>with the exception of select sensitive test</w:t>
      </w:r>
      <w:r w:rsidR="00CC5609">
        <w:t>s (e.g., STI screening) and</w:t>
      </w:r>
      <w:r w:rsidR="00CB03D4">
        <w:t xml:space="preserve"> occupational health</w:t>
      </w:r>
      <w:r w:rsidR="00CC5609">
        <w:t xml:space="preserve"> </w:t>
      </w:r>
      <w:r w:rsidR="00CB03D4">
        <w:t>testing</w:t>
      </w:r>
      <w:r w:rsidR="00CC5609">
        <w:t xml:space="preserve"> required for </w:t>
      </w:r>
      <w:r w:rsidR="00CB03D4">
        <w:t>MIT employment</w:t>
      </w:r>
      <w:r w:rsidR="00CC5609">
        <w:t>;</w:t>
      </w:r>
    </w:p>
    <w:p w14:paraId="0532ADE5" w14:textId="66523B51" w:rsidR="00F045D4" w:rsidRPr="0090051E" w:rsidRDefault="00484B72" w:rsidP="008360DA">
      <w:pPr>
        <w:pStyle w:val="ListParagraph"/>
        <w:numPr>
          <w:ilvl w:val="0"/>
          <w:numId w:val="10"/>
        </w:numPr>
      </w:pPr>
      <w:r w:rsidRPr="0090051E">
        <w:t>Specialty infusion</w:t>
      </w:r>
      <w:r w:rsidR="006D2163" w:rsidRPr="0090051E">
        <w:t xml:space="preserve"> medications </w:t>
      </w:r>
      <w:r w:rsidRPr="0090051E">
        <w:t>or injectable</w:t>
      </w:r>
      <w:r w:rsidR="006D2163" w:rsidRPr="0090051E">
        <w:t xml:space="preserve"> medications</w:t>
      </w:r>
      <w:r w:rsidRPr="0090051E">
        <w:t xml:space="preserve">, </w:t>
      </w:r>
      <w:r w:rsidR="002C1519" w:rsidRPr="0090051E">
        <w:t xml:space="preserve">as defined by the MIT Student Health Insurance Plan’s pharmacy benefit design, </w:t>
      </w:r>
      <w:r w:rsidRPr="0090051E">
        <w:t xml:space="preserve">including if administered at MIT </w:t>
      </w:r>
      <w:r w:rsidR="00263AEA" w:rsidRPr="0090051E">
        <w:t>Health</w:t>
      </w:r>
      <w:r w:rsidRPr="0090051E">
        <w:t>; and</w:t>
      </w:r>
    </w:p>
    <w:p w14:paraId="277009BF" w14:textId="00A1E6ED" w:rsidR="005A11AB" w:rsidRPr="0090051E" w:rsidRDefault="00F045D4">
      <w:pPr>
        <w:pStyle w:val="ListParagraph"/>
        <w:numPr>
          <w:ilvl w:val="0"/>
          <w:numId w:val="10"/>
        </w:numPr>
      </w:pPr>
      <w:r w:rsidRPr="0090051E">
        <w:t xml:space="preserve">Any </w:t>
      </w:r>
      <w:r w:rsidR="00B337AA" w:rsidRPr="0090051E">
        <w:t xml:space="preserve">prescription or over-the-counter </w:t>
      </w:r>
      <w:r w:rsidRPr="0090051E">
        <w:t>medications not given during a clinical visit.</w:t>
      </w:r>
    </w:p>
    <w:p w14:paraId="60EAC9C0" w14:textId="7F836524" w:rsidR="00484B72" w:rsidRDefault="00B33DF5" w:rsidP="00D70042">
      <w:r w:rsidRPr="0090051E">
        <w:lastRenderedPageBreak/>
        <w:t xml:space="preserve">Participants in the MSRP General and MSRP Biology programs do not have access to Student Mental Health and Counseling but are eligible to receive all other services at MIT </w:t>
      </w:r>
      <w:r w:rsidR="00263AEA" w:rsidRPr="0090051E">
        <w:t>Health</w:t>
      </w:r>
      <w:r w:rsidRPr="0090051E">
        <w:t>.</w:t>
      </w:r>
    </w:p>
    <w:sectPr w:rsidR="00484B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D6F6F" w14:textId="77777777" w:rsidR="00A80FF2" w:rsidRDefault="00A80FF2" w:rsidP="00EB1BCD">
      <w:pPr>
        <w:spacing w:after="0" w:line="240" w:lineRule="auto"/>
      </w:pPr>
      <w:r>
        <w:separator/>
      </w:r>
    </w:p>
  </w:endnote>
  <w:endnote w:type="continuationSeparator" w:id="0">
    <w:p w14:paraId="1C91F4D5" w14:textId="77777777" w:rsidR="00A80FF2" w:rsidRDefault="00A80FF2" w:rsidP="00EB1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vanish/>
        <w:color w:val="A6A6A6" w:themeColor="background1" w:themeShade="A6"/>
        <w:highlight w:val="yellow"/>
      </w:rPr>
      <w:id w:val="1727183679"/>
      <w:docPartObj>
        <w:docPartGallery w:val="Page Numbers (Bottom of Page)"/>
        <w:docPartUnique/>
      </w:docPartObj>
    </w:sdtPr>
    <w:sdtEndPr>
      <w:rPr>
        <w:spacing w:val="60"/>
      </w:rPr>
    </w:sdtEndPr>
    <w:sdtContent>
      <w:p w14:paraId="34307018" w14:textId="351317F9" w:rsidR="00CC2D75" w:rsidRPr="00D72886" w:rsidRDefault="00CC2D75" w:rsidP="00655E98">
        <w:pPr>
          <w:pStyle w:val="Footer"/>
          <w:pBdr>
            <w:top w:val="single" w:sz="4" w:space="1" w:color="D9D9D9" w:themeColor="background1" w:themeShade="D9"/>
          </w:pBdr>
          <w:jc w:val="right"/>
          <w:rPr>
            <w:rFonts w:asciiTheme="majorHAnsi" w:hAnsiTheme="majorHAnsi"/>
            <w:color w:val="A6A6A6" w:themeColor="background1" w:themeShade="A6"/>
          </w:rPr>
        </w:pPr>
        <w:r>
          <w:rPr>
            <w:rFonts w:asciiTheme="majorHAnsi" w:hAnsiTheme="majorHAnsi"/>
            <w:color w:val="A6A6A6" w:themeColor="background1" w:themeShade="A6"/>
          </w:rPr>
          <w:t xml:space="preserve">MIT </w:t>
        </w:r>
        <w:r w:rsidR="00E64382">
          <w:rPr>
            <w:rFonts w:asciiTheme="majorHAnsi" w:hAnsiTheme="majorHAnsi"/>
            <w:color w:val="A6A6A6" w:themeColor="background1" w:themeShade="A6"/>
          </w:rPr>
          <w:t>Student Insurance Office</w:t>
        </w:r>
        <w:r w:rsidRPr="00D72886">
          <w:rPr>
            <w:rFonts w:asciiTheme="majorHAnsi" w:hAnsiTheme="majorHAnsi"/>
            <w:color w:val="A6A6A6" w:themeColor="background1" w:themeShade="A6"/>
          </w:rPr>
          <w:tab/>
        </w:r>
        <w:r w:rsidRPr="00D72886">
          <w:rPr>
            <w:rFonts w:asciiTheme="majorHAnsi" w:hAnsiTheme="majorHAnsi"/>
            <w:color w:val="A6A6A6" w:themeColor="background1" w:themeShade="A6"/>
          </w:rPr>
          <w:tab/>
        </w:r>
        <w:r w:rsidRPr="00D72886">
          <w:rPr>
            <w:rFonts w:asciiTheme="majorHAnsi" w:hAnsiTheme="majorHAnsi"/>
            <w:color w:val="A6A6A6" w:themeColor="background1" w:themeShade="A6"/>
          </w:rPr>
          <w:fldChar w:fldCharType="begin"/>
        </w:r>
        <w:r w:rsidRPr="00D72886">
          <w:rPr>
            <w:rFonts w:asciiTheme="majorHAnsi" w:hAnsiTheme="majorHAnsi"/>
            <w:color w:val="A6A6A6" w:themeColor="background1" w:themeShade="A6"/>
          </w:rPr>
          <w:instrText xml:space="preserve"> PAGE   \* MERGEFORMAT </w:instrText>
        </w:r>
        <w:r w:rsidRPr="00D72886">
          <w:rPr>
            <w:rFonts w:asciiTheme="majorHAnsi" w:hAnsiTheme="majorHAnsi"/>
            <w:color w:val="A6A6A6" w:themeColor="background1" w:themeShade="A6"/>
          </w:rPr>
          <w:fldChar w:fldCharType="separate"/>
        </w:r>
        <w:r>
          <w:rPr>
            <w:rFonts w:asciiTheme="majorHAnsi" w:hAnsiTheme="majorHAnsi"/>
            <w:noProof/>
            <w:color w:val="A6A6A6" w:themeColor="background1" w:themeShade="A6"/>
          </w:rPr>
          <w:t>4</w:t>
        </w:r>
        <w:r w:rsidRPr="00D72886">
          <w:rPr>
            <w:rFonts w:asciiTheme="majorHAnsi" w:hAnsiTheme="majorHAnsi"/>
            <w:noProof/>
            <w:color w:val="A6A6A6" w:themeColor="background1" w:themeShade="A6"/>
          </w:rPr>
          <w:fldChar w:fldCharType="end"/>
        </w:r>
        <w:r w:rsidRPr="00D72886">
          <w:rPr>
            <w:rFonts w:asciiTheme="majorHAnsi" w:hAnsiTheme="majorHAnsi"/>
            <w:color w:val="A6A6A6" w:themeColor="background1" w:themeShade="A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3E8CA" w14:textId="77777777" w:rsidR="00A80FF2" w:rsidRDefault="00A80FF2" w:rsidP="00EB1BCD">
      <w:pPr>
        <w:spacing w:after="0" w:line="240" w:lineRule="auto"/>
      </w:pPr>
      <w:r>
        <w:separator/>
      </w:r>
    </w:p>
  </w:footnote>
  <w:footnote w:type="continuationSeparator" w:id="0">
    <w:p w14:paraId="4F03183F" w14:textId="77777777" w:rsidR="00A80FF2" w:rsidRDefault="00A80FF2" w:rsidP="00EB1BCD">
      <w:pPr>
        <w:spacing w:after="0" w:line="240" w:lineRule="auto"/>
      </w:pPr>
      <w:r>
        <w:continuationSeparator/>
      </w:r>
    </w:p>
  </w:footnote>
  <w:footnote w:id="1">
    <w:p w14:paraId="0C5E46CE" w14:textId="77777777" w:rsidR="00CC2D75" w:rsidRDefault="00CC2D75" w:rsidP="006E21F5">
      <w:pPr>
        <w:pStyle w:val="FootnoteText"/>
      </w:pPr>
      <w:r>
        <w:rPr>
          <w:rStyle w:val="FootnoteReference"/>
        </w:rPr>
        <w:footnoteRef/>
      </w:r>
      <w:r>
        <w:t xml:space="preserve"> For all students, number of units will be determined by the MIT Registrar’s Office.</w:t>
      </w:r>
    </w:p>
  </w:footnote>
  <w:footnote w:id="2">
    <w:p w14:paraId="4BD818D7" w14:textId="24276F21" w:rsidR="00CC2D75" w:rsidRDefault="00CC2D75" w:rsidP="000E0880">
      <w:pPr>
        <w:pStyle w:val="FootnoteText"/>
      </w:pPr>
      <w:r>
        <w:rPr>
          <w:rStyle w:val="FootnoteReference"/>
        </w:rPr>
        <w:footnoteRef/>
      </w:r>
      <w:r>
        <w:t xml:space="preserve"> Under </w:t>
      </w:r>
      <w:r w:rsidRPr="00EB1BCD">
        <w:t>M.G.L. c. 15A, § 18 and 956 CMR 8.02</w:t>
      </w:r>
      <w:r>
        <w:t>,</w:t>
      </w:r>
      <w:r w:rsidR="00895342" w:rsidRPr="00895342">
        <w:t xml:space="preserve"> </w:t>
      </w:r>
      <w:r w:rsidR="00895342">
        <w:t>for purposes of the comparable coverage requirement,</w:t>
      </w:r>
      <w:r>
        <w:t xml:space="preserve"> a</w:t>
      </w:r>
      <w:r w:rsidRPr="00EB1BCD">
        <w:t xml:space="preserve"> part-time student </w:t>
      </w:r>
      <w:r>
        <w:t>is defined as participating in at</w:t>
      </w:r>
      <w:r w:rsidRPr="00EB1BCD">
        <w:t xml:space="preserve"> least seventy-five (75) percent of the academic requirements for a full-time student</w:t>
      </w:r>
      <w:r>
        <w:t>.</w:t>
      </w:r>
    </w:p>
  </w:footnote>
  <w:footnote w:id="3">
    <w:p w14:paraId="1FBF4220" w14:textId="62AE9A87" w:rsidR="00CC2D75" w:rsidRDefault="00CC2D75">
      <w:pPr>
        <w:pStyle w:val="FootnoteText"/>
      </w:pPr>
      <w:r>
        <w:rPr>
          <w:rStyle w:val="FootnoteReference"/>
        </w:rPr>
        <w:footnoteRef/>
      </w:r>
      <w:r>
        <w:t xml:space="preserve"> </w:t>
      </w:r>
      <w:r w:rsidRPr="00112CDB">
        <w:t xml:space="preserve">MIT students may not transition directly to become </w:t>
      </w:r>
      <w:r>
        <w:t>visiting students</w:t>
      </w:r>
      <w:r w:rsidRPr="00112CDB">
        <w:t xml:space="preserve">. MIT students who graduate or otherwise leave the institution and become enrolled at another institution may be considered as </w:t>
      </w:r>
      <w:r>
        <w:t>visiting students</w:t>
      </w:r>
      <w:r w:rsidRPr="00112CDB">
        <w:t>.</w:t>
      </w:r>
    </w:p>
  </w:footnote>
  <w:footnote w:id="4">
    <w:p w14:paraId="07588C23" w14:textId="77777777" w:rsidR="00CC2D75" w:rsidRDefault="00CC2D75">
      <w:pPr>
        <w:pStyle w:val="FootnoteText"/>
      </w:pPr>
      <w:r>
        <w:rPr>
          <w:rStyle w:val="FootnoteReference"/>
        </w:rPr>
        <w:footnoteRef/>
      </w:r>
      <w:r>
        <w:t xml:space="preserve"> See</w:t>
      </w:r>
      <w:r w:rsidRPr="00344191">
        <w:t xml:space="preserve"> 956 CMR 8.05(2)(a)(1)</w:t>
      </w:r>
    </w:p>
  </w:footnote>
  <w:footnote w:id="5">
    <w:p w14:paraId="657ED0DB" w14:textId="77777777" w:rsidR="00FC061D" w:rsidRDefault="00FC061D" w:rsidP="00FC061D">
      <w:pPr>
        <w:pStyle w:val="FootnoteText"/>
      </w:pPr>
      <w:r>
        <w:rPr>
          <w:rStyle w:val="FootnoteReference"/>
        </w:rPr>
        <w:footnoteRef/>
      </w:r>
      <w:r>
        <w:t xml:space="preserve"> Only the first occurrence of arrival from another country by a spouse or dependent is considered a qualifying event. If the spouse or dependent leaves the United States and then returns, the arrival would not be considered a qualifying event and the spouse or dependent would only be allowed to enroll during the next open enrollment period.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0D67" w14:textId="4853E21B" w:rsidR="00A950ED" w:rsidRDefault="00A950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6B613" w14:textId="0A04CC12" w:rsidR="00CC2D75" w:rsidRPr="00655E98" w:rsidRDefault="00C61F0F" w:rsidP="00E85D6B">
    <w:pPr>
      <w:jc w:val="center"/>
      <w:rPr>
        <w:rFonts w:asciiTheme="majorHAnsi" w:hAnsiTheme="majorHAnsi"/>
        <w:b/>
        <w:color w:val="A6A6A6" w:themeColor="background1" w:themeShade="A6"/>
      </w:rPr>
    </w:pPr>
    <w:r w:rsidRPr="00C61F0F">
      <w:rPr>
        <w:rFonts w:asciiTheme="majorHAnsi" w:hAnsiTheme="majorHAnsi"/>
        <w:b/>
        <w:color w:val="A6A6A6" w:themeColor="background1" w:themeShade="A6"/>
      </w:rPr>
      <w:t>MIT</w:t>
    </w:r>
    <w:r w:rsidR="00CC2D75" w:rsidRPr="00C61F0F">
      <w:rPr>
        <w:rFonts w:asciiTheme="majorHAnsi" w:hAnsiTheme="majorHAnsi"/>
        <w:b/>
        <w:color w:val="A6A6A6" w:themeColor="background1" w:themeShade="A6"/>
      </w:rPr>
      <w:t xml:space="preserve"> </w:t>
    </w:r>
    <w:r w:rsidR="00CC2D75" w:rsidRPr="00E85D6B">
      <w:rPr>
        <w:rFonts w:asciiTheme="majorHAnsi" w:hAnsiTheme="majorHAnsi"/>
        <w:b/>
        <w:color w:val="A6A6A6" w:themeColor="background1" w:themeShade="A6"/>
      </w:rPr>
      <w:t>Student</w:t>
    </w:r>
    <w:r w:rsidR="0008058D">
      <w:rPr>
        <w:rFonts w:asciiTheme="majorHAnsi" w:hAnsiTheme="majorHAnsi"/>
        <w:b/>
        <w:color w:val="A6A6A6" w:themeColor="background1" w:themeShade="A6"/>
      </w:rPr>
      <w:t xml:space="preserve"> </w:t>
    </w:r>
    <w:r w:rsidR="00CC2D75" w:rsidRPr="00E85D6B">
      <w:rPr>
        <w:rFonts w:asciiTheme="majorHAnsi" w:hAnsiTheme="majorHAnsi"/>
        <w:b/>
        <w:color w:val="A6A6A6" w:themeColor="background1" w:themeShade="A6"/>
      </w:rPr>
      <w:t xml:space="preserve">Health Insurance </w:t>
    </w:r>
    <w:r w:rsidR="00CA143A">
      <w:rPr>
        <w:rFonts w:asciiTheme="majorHAnsi" w:hAnsiTheme="majorHAnsi"/>
        <w:b/>
        <w:color w:val="A6A6A6" w:themeColor="background1" w:themeShade="A6"/>
      </w:rPr>
      <w:t xml:space="preserve">Plan </w:t>
    </w:r>
    <w:r w:rsidR="00CC2D75" w:rsidRPr="00E85D6B">
      <w:rPr>
        <w:rFonts w:asciiTheme="majorHAnsi" w:hAnsiTheme="majorHAnsi"/>
        <w:b/>
        <w:color w:val="A6A6A6" w:themeColor="background1" w:themeShade="A6"/>
      </w:rPr>
      <w:t>Policies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86E4A" w14:textId="413F1087" w:rsidR="00A950ED" w:rsidRDefault="00A950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4C242" w14:textId="5D1F5942" w:rsidR="00A950ED" w:rsidRDefault="00A950E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22A2B" w14:textId="485D11F3" w:rsidR="00A950ED" w:rsidRDefault="00A950E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C936D" w14:textId="64811846" w:rsidR="00A950ED" w:rsidRDefault="00A950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62ED"/>
    <w:multiLevelType w:val="hybridMultilevel"/>
    <w:tmpl w:val="F5A41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D5324"/>
    <w:multiLevelType w:val="hybridMultilevel"/>
    <w:tmpl w:val="A11E9754"/>
    <w:lvl w:ilvl="0" w:tplc="54FA50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76468"/>
    <w:multiLevelType w:val="hybridMultilevel"/>
    <w:tmpl w:val="5FDAA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66E0D"/>
    <w:multiLevelType w:val="hybridMultilevel"/>
    <w:tmpl w:val="7CD8E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16D6A"/>
    <w:multiLevelType w:val="multilevel"/>
    <w:tmpl w:val="702818DE"/>
    <w:lvl w:ilvl="0">
      <w:start w:val="9"/>
      <w:numFmt w:val="decimal"/>
      <w:lvlText w:val="%1"/>
      <w:lvlJc w:val="left"/>
      <w:pPr>
        <w:ind w:left="360" w:hanging="360"/>
      </w:pPr>
      <w:rPr>
        <w:rFonts w:hint="default"/>
        <w:sz w:val="26"/>
      </w:rPr>
    </w:lvl>
    <w:lvl w:ilvl="1">
      <w:start w:val="2"/>
      <w:numFmt w:val="decimal"/>
      <w:lvlText w:val="%1.%2"/>
      <w:lvlJc w:val="left"/>
      <w:pPr>
        <w:ind w:left="360" w:hanging="360"/>
      </w:pPr>
      <w:rPr>
        <w:rFonts w:hint="default"/>
        <w:sz w:val="26"/>
      </w:rPr>
    </w:lvl>
    <w:lvl w:ilvl="2">
      <w:start w:val="8"/>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440" w:hanging="1440"/>
      </w:pPr>
      <w:rPr>
        <w:rFonts w:hint="default"/>
        <w:sz w:val="26"/>
      </w:rPr>
    </w:lvl>
  </w:abstractNum>
  <w:abstractNum w:abstractNumId="5" w15:restartNumberingAfterBreak="0">
    <w:nsid w:val="1C4122B0"/>
    <w:multiLevelType w:val="hybridMultilevel"/>
    <w:tmpl w:val="778A8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903F8"/>
    <w:multiLevelType w:val="hybridMultilevel"/>
    <w:tmpl w:val="F098B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F81756"/>
    <w:multiLevelType w:val="hybridMultilevel"/>
    <w:tmpl w:val="0AA6F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E21951"/>
    <w:multiLevelType w:val="multilevel"/>
    <w:tmpl w:val="BE26390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7586E4B"/>
    <w:multiLevelType w:val="hybridMultilevel"/>
    <w:tmpl w:val="048CB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B90A3A"/>
    <w:multiLevelType w:val="hybridMultilevel"/>
    <w:tmpl w:val="FEB86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2676AB"/>
    <w:multiLevelType w:val="hybridMultilevel"/>
    <w:tmpl w:val="7EEEF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A75EEA"/>
    <w:multiLevelType w:val="multilevel"/>
    <w:tmpl w:val="E3A02F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3612659"/>
    <w:multiLevelType w:val="multilevel"/>
    <w:tmpl w:val="BE26390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2400CB7"/>
    <w:multiLevelType w:val="hybridMultilevel"/>
    <w:tmpl w:val="D076D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FE7192"/>
    <w:multiLevelType w:val="hybridMultilevel"/>
    <w:tmpl w:val="6540D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374464"/>
    <w:multiLevelType w:val="hybridMultilevel"/>
    <w:tmpl w:val="D518A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DA56D5"/>
    <w:multiLevelType w:val="hybridMultilevel"/>
    <w:tmpl w:val="F1946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077777"/>
    <w:multiLevelType w:val="hybridMultilevel"/>
    <w:tmpl w:val="FA5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AD13A1"/>
    <w:multiLevelType w:val="multilevel"/>
    <w:tmpl w:val="BE26390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B106624"/>
    <w:multiLevelType w:val="multilevel"/>
    <w:tmpl w:val="B7A84394"/>
    <w:lvl w:ilvl="0">
      <w:start w:val="1"/>
      <w:numFmt w:val="decimal"/>
      <w:lvlText w:val="%1."/>
      <w:lvlJc w:val="left"/>
      <w:pPr>
        <w:ind w:left="720" w:hanging="360"/>
      </w:pPr>
    </w:lvl>
    <w:lvl w:ilvl="1">
      <w:start w:val="2"/>
      <w:numFmt w:val="decimal"/>
      <w:isLgl/>
      <w:lvlText w:val="%1.%2"/>
      <w:lvlJc w:val="left"/>
      <w:pPr>
        <w:ind w:left="800" w:hanging="44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CEF2190"/>
    <w:multiLevelType w:val="hybridMultilevel"/>
    <w:tmpl w:val="DE446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026435">
    <w:abstractNumId w:val="10"/>
  </w:num>
  <w:num w:numId="2" w16cid:durableId="1483428413">
    <w:abstractNumId w:val="5"/>
  </w:num>
  <w:num w:numId="3" w16cid:durableId="3287366">
    <w:abstractNumId w:val="0"/>
  </w:num>
  <w:num w:numId="4" w16cid:durableId="1729724262">
    <w:abstractNumId w:val="1"/>
  </w:num>
  <w:num w:numId="5" w16cid:durableId="512769833">
    <w:abstractNumId w:val="7"/>
  </w:num>
  <w:num w:numId="6" w16cid:durableId="592468465">
    <w:abstractNumId w:val="15"/>
  </w:num>
  <w:num w:numId="7" w16cid:durableId="38937392">
    <w:abstractNumId w:val="3"/>
  </w:num>
  <w:num w:numId="8" w16cid:durableId="873425137">
    <w:abstractNumId w:val="9"/>
  </w:num>
  <w:num w:numId="9" w16cid:durableId="727722819">
    <w:abstractNumId w:val="21"/>
  </w:num>
  <w:num w:numId="10" w16cid:durableId="1321617878">
    <w:abstractNumId w:val="18"/>
  </w:num>
  <w:num w:numId="11" w16cid:durableId="718280433">
    <w:abstractNumId w:val="20"/>
  </w:num>
  <w:num w:numId="12" w16cid:durableId="228224699">
    <w:abstractNumId w:val="14"/>
  </w:num>
  <w:num w:numId="13" w16cid:durableId="529345013">
    <w:abstractNumId w:val="11"/>
  </w:num>
  <w:num w:numId="14" w16cid:durableId="1666589988">
    <w:abstractNumId w:val="6"/>
  </w:num>
  <w:num w:numId="15" w16cid:durableId="1205556996">
    <w:abstractNumId w:val="17"/>
  </w:num>
  <w:num w:numId="16" w16cid:durableId="308629472">
    <w:abstractNumId w:val="2"/>
  </w:num>
  <w:num w:numId="17" w16cid:durableId="262686730">
    <w:abstractNumId w:val="12"/>
  </w:num>
  <w:num w:numId="18" w16cid:durableId="1549219157">
    <w:abstractNumId w:val="8"/>
  </w:num>
  <w:num w:numId="19" w16cid:durableId="1131366138">
    <w:abstractNumId w:val="4"/>
  </w:num>
  <w:num w:numId="20" w16cid:durableId="2047170008">
    <w:abstractNumId w:val="19"/>
  </w:num>
  <w:num w:numId="21" w16cid:durableId="796753386">
    <w:abstractNumId w:val="16"/>
  </w:num>
  <w:num w:numId="22" w16cid:durableId="1046445540">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BDB"/>
    <w:rsid w:val="00000159"/>
    <w:rsid w:val="00000BE5"/>
    <w:rsid w:val="0000203A"/>
    <w:rsid w:val="000022C6"/>
    <w:rsid w:val="00002FDE"/>
    <w:rsid w:val="00004E1B"/>
    <w:rsid w:val="00011B4B"/>
    <w:rsid w:val="00014E2A"/>
    <w:rsid w:val="00016DBD"/>
    <w:rsid w:val="000220C8"/>
    <w:rsid w:val="00024C49"/>
    <w:rsid w:val="00030AE3"/>
    <w:rsid w:val="00030E82"/>
    <w:rsid w:val="00030F27"/>
    <w:rsid w:val="00031C5C"/>
    <w:rsid w:val="00032F89"/>
    <w:rsid w:val="00040864"/>
    <w:rsid w:val="000408C4"/>
    <w:rsid w:val="000411A4"/>
    <w:rsid w:val="0004288C"/>
    <w:rsid w:val="0004459A"/>
    <w:rsid w:val="00050ED9"/>
    <w:rsid w:val="000517E1"/>
    <w:rsid w:val="00053AAE"/>
    <w:rsid w:val="00056DB4"/>
    <w:rsid w:val="000570EB"/>
    <w:rsid w:val="0006000A"/>
    <w:rsid w:val="00060E8F"/>
    <w:rsid w:val="00061642"/>
    <w:rsid w:val="0006216B"/>
    <w:rsid w:val="0006365D"/>
    <w:rsid w:val="00063B86"/>
    <w:rsid w:val="000701C2"/>
    <w:rsid w:val="00073404"/>
    <w:rsid w:val="00074374"/>
    <w:rsid w:val="0008058D"/>
    <w:rsid w:val="000817B2"/>
    <w:rsid w:val="00082C8C"/>
    <w:rsid w:val="00086FB1"/>
    <w:rsid w:val="00087598"/>
    <w:rsid w:val="00090621"/>
    <w:rsid w:val="0009111D"/>
    <w:rsid w:val="00092668"/>
    <w:rsid w:val="0009408A"/>
    <w:rsid w:val="0009490B"/>
    <w:rsid w:val="00094C9C"/>
    <w:rsid w:val="0009623C"/>
    <w:rsid w:val="000A1025"/>
    <w:rsid w:val="000A40DC"/>
    <w:rsid w:val="000A689C"/>
    <w:rsid w:val="000A6B48"/>
    <w:rsid w:val="000B0FD3"/>
    <w:rsid w:val="000B1E84"/>
    <w:rsid w:val="000B27B7"/>
    <w:rsid w:val="000B5782"/>
    <w:rsid w:val="000C635E"/>
    <w:rsid w:val="000C79BE"/>
    <w:rsid w:val="000D15DE"/>
    <w:rsid w:val="000D2A4B"/>
    <w:rsid w:val="000D375B"/>
    <w:rsid w:val="000D43A2"/>
    <w:rsid w:val="000E0285"/>
    <w:rsid w:val="000E0880"/>
    <w:rsid w:val="000E09BC"/>
    <w:rsid w:val="000E1EC0"/>
    <w:rsid w:val="000E2F0C"/>
    <w:rsid w:val="000F1672"/>
    <w:rsid w:val="000F230C"/>
    <w:rsid w:val="000F2992"/>
    <w:rsid w:val="00103D6C"/>
    <w:rsid w:val="00105FC0"/>
    <w:rsid w:val="00107F0D"/>
    <w:rsid w:val="0011080D"/>
    <w:rsid w:val="00110C51"/>
    <w:rsid w:val="00112CDB"/>
    <w:rsid w:val="00114258"/>
    <w:rsid w:val="00114CB3"/>
    <w:rsid w:val="00117672"/>
    <w:rsid w:val="001205CF"/>
    <w:rsid w:val="00120776"/>
    <w:rsid w:val="00125337"/>
    <w:rsid w:val="001264F5"/>
    <w:rsid w:val="001317FB"/>
    <w:rsid w:val="0014199D"/>
    <w:rsid w:val="00142D2A"/>
    <w:rsid w:val="00145894"/>
    <w:rsid w:val="001472C2"/>
    <w:rsid w:val="00150CBD"/>
    <w:rsid w:val="00154464"/>
    <w:rsid w:val="0016274F"/>
    <w:rsid w:val="0016275B"/>
    <w:rsid w:val="00162D03"/>
    <w:rsid w:val="0016306C"/>
    <w:rsid w:val="00163645"/>
    <w:rsid w:val="0016529B"/>
    <w:rsid w:val="00165700"/>
    <w:rsid w:val="00167581"/>
    <w:rsid w:val="00170A1C"/>
    <w:rsid w:val="0017365B"/>
    <w:rsid w:val="00175095"/>
    <w:rsid w:val="00176562"/>
    <w:rsid w:val="00177BD7"/>
    <w:rsid w:val="00181675"/>
    <w:rsid w:val="001851DA"/>
    <w:rsid w:val="00187339"/>
    <w:rsid w:val="0019478E"/>
    <w:rsid w:val="00194B49"/>
    <w:rsid w:val="0019500D"/>
    <w:rsid w:val="001972E7"/>
    <w:rsid w:val="001A19EC"/>
    <w:rsid w:val="001A2A81"/>
    <w:rsid w:val="001A4D46"/>
    <w:rsid w:val="001B11E3"/>
    <w:rsid w:val="001B5A85"/>
    <w:rsid w:val="001C1489"/>
    <w:rsid w:val="001C401C"/>
    <w:rsid w:val="001C4BDC"/>
    <w:rsid w:val="001C4F5F"/>
    <w:rsid w:val="001D0A01"/>
    <w:rsid w:val="001D17F4"/>
    <w:rsid w:val="001D3C7D"/>
    <w:rsid w:val="001D7147"/>
    <w:rsid w:val="001E26EF"/>
    <w:rsid w:val="001E4419"/>
    <w:rsid w:val="001F01E5"/>
    <w:rsid w:val="001F3C81"/>
    <w:rsid w:val="001F4B46"/>
    <w:rsid w:val="001F5687"/>
    <w:rsid w:val="001F71FE"/>
    <w:rsid w:val="001F7795"/>
    <w:rsid w:val="00203A6A"/>
    <w:rsid w:val="00203EF8"/>
    <w:rsid w:val="00204954"/>
    <w:rsid w:val="00205DCE"/>
    <w:rsid w:val="00214C14"/>
    <w:rsid w:val="00222D03"/>
    <w:rsid w:val="00223007"/>
    <w:rsid w:val="00224346"/>
    <w:rsid w:val="00224CAD"/>
    <w:rsid w:val="00226280"/>
    <w:rsid w:val="002310BE"/>
    <w:rsid w:val="00232E2C"/>
    <w:rsid w:val="0023484E"/>
    <w:rsid w:val="0024095D"/>
    <w:rsid w:val="0024788B"/>
    <w:rsid w:val="00247CF9"/>
    <w:rsid w:val="002514F6"/>
    <w:rsid w:val="0025250C"/>
    <w:rsid w:val="0025342E"/>
    <w:rsid w:val="002545AA"/>
    <w:rsid w:val="00255DB6"/>
    <w:rsid w:val="00257047"/>
    <w:rsid w:val="00263661"/>
    <w:rsid w:val="00263AEA"/>
    <w:rsid w:val="0026714B"/>
    <w:rsid w:val="00273810"/>
    <w:rsid w:val="002738AB"/>
    <w:rsid w:val="00280A17"/>
    <w:rsid w:val="00280FF9"/>
    <w:rsid w:val="002835AD"/>
    <w:rsid w:val="002841E7"/>
    <w:rsid w:val="00293847"/>
    <w:rsid w:val="002945D5"/>
    <w:rsid w:val="002948A3"/>
    <w:rsid w:val="00297E55"/>
    <w:rsid w:val="002A1204"/>
    <w:rsid w:val="002A1F23"/>
    <w:rsid w:val="002A2936"/>
    <w:rsid w:val="002A46B5"/>
    <w:rsid w:val="002A63BF"/>
    <w:rsid w:val="002A70AD"/>
    <w:rsid w:val="002A74B6"/>
    <w:rsid w:val="002A7E5D"/>
    <w:rsid w:val="002C1519"/>
    <w:rsid w:val="002D02F4"/>
    <w:rsid w:val="002D38EF"/>
    <w:rsid w:val="002D4621"/>
    <w:rsid w:val="002E11EE"/>
    <w:rsid w:val="002E3F95"/>
    <w:rsid w:val="002F0136"/>
    <w:rsid w:val="003013DD"/>
    <w:rsid w:val="003021E0"/>
    <w:rsid w:val="00312B9F"/>
    <w:rsid w:val="00313E91"/>
    <w:rsid w:val="00313F4F"/>
    <w:rsid w:val="0031524C"/>
    <w:rsid w:val="00316CA4"/>
    <w:rsid w:val="0032078E"/>
    <w:rsid w:val="00322E54"/>
    <w:rsid w:val="00331942"/>
    <w:rsid w:val="00333217"/>
    <w:rsid w:val="00336F6B"/>
    <w:rsid w:val="003375B1"/>
    <w:rsid w:val="003434B3"/>
    <w:rsid w:val="003440C6"/>
    <w:rsid w:val="003477DC"/>
    <w:rsid w:val="00347CC8"/>
    <w:rsid w:val="0035345A"/>
    <w:rsid w:val="00354E5F"/>
    <w:rsid w:val="003562C7"/>
    <w:rsid w:val="00362C74"/>
    <w:rsid w:val="00363224"/>
    <w:rsid w:val="00363515"/>
    <w:rsid w:val="00363652"/>
    <w:rsid w:val="00363A82"/>
    <w:rsid w:val="003647CF"/>
    <w:rsid w:val="00367D99"/>
    <w:rsid w:val="00370545"/>
    <w:rsid w:val="00381EC2"/>
    <w:rsid w:val="00383E08"/>
    <w:rsid w:val="00384027"/>
    <w:rsid w:val="00385705"/>
    <w:rsid w:val="00386752"/>
    <w:rsid w:val="003906A4"/>
    <w:rsid w:val="00391F44"/>
    <w:rsid w:val="003945AE"/>
    <w:rsid w:val="00395AB6"/>
    <w:rsid w:val="00397268"/>
    <w:rsid w:val="003A1151"/>
    <w:rsid w:val="003A5F8B"/>
    <w:rsid w:val="003B066C"/>
    <w:rsid w:val="003B3385"/>
    <w:rsid w:val="003B3637"/>
    <w:rsid w:val="003C22C7"/>
    <w:rsid w:val="003C29E7"/>
    <w:rsid w:val="003D424F"/>
    <w:rsid w:val="003E0280"/>
    <w:rsid w:val="003E2895"/>
    <w:rsid w:val="003E39F3"/>
    <w:rsid w:val="003E4544"/>
    <w:rsid w:val="003E4FB2"/>
    <w:rsid w:val="003E5C15"/>
    <w:rsid w:val="003E6BDB"/>
    <w:rsid w:val="003F0333"/>
    <w:rsid w:val="003F1ADF"/>
    <w:rsid w:val="003F2A6E"/>
    <w:rsid w:val="00401D96"/>
    <w:rsid w:val="00403317"/>
    <w:rsid w:val="00403563"/>
    <w:rsid w:val="00406311"/>
    <w:rsid w:val="00406FF5"/>
    <w:rsid w:val="00407861"/>
    <w:rsid w:val="004105BC"/>
    <w:rsid w:val="004117EC"/>
    <w:rsid w:val="004129AC"/>
    <w:rsid w:val="0041453B"/>
    <w:rsid w:val="00415B41"/>
    <w:rsid w:val="00420CDE"/>
    <w:rsid w:val="004210C9"/>
    <w:rsid w:val="00421CE7"/>
    <w:rsid w:val="0042234F"/>
    <w:rsid w:val="00422713"/>
    <w:rsid w:val="004228B9"/>
    <w:rsid w:val="00423A39"/>
    <w:rsid w:val="00425134"/>
    <w:rsid w:val="00426C3C"/>
    <w:rsid w:val="00432788"/>
    <w:rsid w:val="00433917"/>
    <w:rsid w:val="00433FF5"/>
    <w:rsid w:val="00436919"/>
    <w:rsid w:val="00436E8B"/>
    <w:rsid w:val="0044048F"/>
    <w:rsid w:val="0044184C"/>
    <w:rsid w:val="00442F28"/>
    <w:rsid w:val="004436C4"/>
    <w:rsid w:val="0044500C"/>
    <w:rsid w:val="00447153"/>
    <w:rsid w:val="0045056A"/>
    <w:rsid w:val="004513B0"/>
    <w:rsid w:val="00451ADB"/>
    <w:rsid w:val="00454978"/>
    <w:rsid w:val="004561FA"/>
    <w:rsid w:val="00456464"/>
    <w:rsid w:val="00456B78"/>
    <w:rsid w:val="0045712D"/>
    <w:rsid w:val="004579C8"/>
    <w:rsid w:val="004601C4"/>
    <w:rsid w:val="004623BE"/>
    <w:rsid w:val="0046262D"/>
    <w:rsid w:val="00470A73"/>
    <w:rsid w:val="0047685A"/>
    <w:rsid w:val="00480049"/>
    <w:rsid w:val="0048201C"/>
    <w:rsid w:val="00484B72"/>
    <w:rsid w:val="00494932"/>
    <w:rsid w:val="004950BB"/>
    <w:rsid w:val="004A153A"/>
    <w:rsid w:val="004A5895"/>
    <w:rsid w:val="004A5DA5"/>
    <w:rsid w:val="004A6E70"/>
    <w:rsid w:val="004A73AA"/>
    <w:rsid w:val="004B078A"/>
    <w:rsid w:val="004B7BF8"/>
    <w:rsid w:val="004C0EB3"/>
    <w:rsid w:val="004C1D28"/>
    <w:rsid w:val="004C55DF"/>
    <w:rsid w:val="004C7DC0"/>
    <w:rsid w:val="004D0870"/>
    <w:rsid w:val="004D12F8"/>
    <w:rsid w:val="004E167D"/>
    <w:rsid w:val="004E1F88"/>
    <w:rsid w:val="004E204E"/>
    <w:rsid w:val="004E5EB6"/>
    <w:rsid w:val="004E6B5B"/>
    <w:rsid w:val="004F14DC"/>
    <w:rsid w:val="004F27F4"/>
    <w:rsid w:val="004F48AE"/>
    <w:rsid w:val="004F6921"/>
    <w:rsid w:val="005049C0"/>
    <w:rsid w:val="005105F4"/>
    <w:rsid w:val="00513BD8"/>
    <w:rsid w:val="00513ED4"/>
    <w:rsid w:val="00517454"/>
    <w:rsid w:val="00517F4C"/>
    <w:rsid w:val="00523A9A"/>
    <w:rsid w:val="00523E57"/>
    <w:rsid w:val="00531355"/>
    <w:rsid w:val="005330C5"/>
    <w:rsid w:val="00536320"/>
    <w:rsid w:val="005403E4"/>
    <w:rsid w:val="0054340B"/>
    <w:rsid w:val="005457EF"/>
    <w:rsid w:val="00545F65"/>
    <w:rsid w:val="00546181"/>
    <w:rsid w:val="0055322C"/>
    <w:rsid w:val="00556FEA"/>
    <w:rsid w:val="00573253"/>
    <w:rsid w:val="005734A6"/>
    <w:rsid w:val="00574EC2"/>
    <w:rsid w:val="00576BDA"/>
    <w:rsid w:val="00576C84"/>
    <w:rsid w:val="005773A9"/>
    <w:rsid w:val="00582DEC"/>
    <w:rsid w:val="0058682D"/>
    <w:rsid w:val="005913DF"/>
    <w:rsid w:val="00594838"/>
    <w:rsid w:val="005A0721"/>
    <w:rsid w:val="005A0BBB"/>
    <w:rsid w:val="005A11AB"/>
    <w:rsid w:val="005A39A7"/>
    <w:rsid w:val="005A42D8"/>
    <w:rsid w:val="005A4C85"/>
    <w:rsid w:val="005A4D67"/>
    <w:rsid w:val="005A71D3"/>
    <w:rsid w:val="005B308C"/>
    <w:rsid w:val="005B4D36"/>
    <w:rsid w:val="005B4FE4"/>
    <w:rsid w:val="005B5CE4"/>
    <w:rsid w:val="005B6E2F"/>
    <w:rsid w:val="005B6F31"/>
    <w:rsid w:val="005B7B43"/>
    <w:rsid w:val="005C0198"/>
    <w:rsid w:val="005C0DA7"/>
    <w:rsid w:val="005C374C"/>
    <w:rsid w:val="005C39B1"/>
    <w:rsid w:val="005C706E"/>
    <w:rsid w:val="005D1EA1"/>
    <w:rsid w:val="005D27B1"/>
    <w:rsid w:val="005D38D2"/>
    <w:rsid w:val="005E46DC"/>
    <w:rsid w:val="005E6682"/>
    <w:rsid w:val="005E76DC"/>
    <w:rsid w:val="005F5E1F"/>
    <w:rsid w:val="005F7592"/>
    <w:rsid w:val="006003C1"/>
    <w:rsid w:val="00601061"/>
    <w:rsid w:val="00612DA3"/>
    <w:rsid w:val="00613E75"/>
    <w:rsid w:val="00620DA2"/>
    <w:rsid w:val="00623063"/>
    <w:rsid w:val="0062479E"/>
    <w:rsid w:val="006255BD"/>
    <w:rsid w:val="00626AE4"/>
    <w:rsid w:val="00633779"/>
    <w:rsid w:val="006356B9"/>
    <w:rsid w:val="00635A6B"/>
    <w:rsid w:val="0064027D"/>
    <w:rsid w:val="006411EB"/>
    <w:rsid w:val="00644E2B"/>
    <w:rsid w:val="006454F5"/>
    <w:rsid w:val="006472C6"/>
    <w:rsid w:val="00650910"/>
    <w:rsid w:val="00650CAA"/>
    <w:rsid w:val="00651092"/>
    <w:rsid w:val="006549A1"/>
    <w:rsid w:val="00655E98"/>
    <w:rsid w:val="0065667F"/>
    <w:rsid w:val="00663AAC"/>
    <w:rsid w:val="00665554"/>
    <w:rsid w:val="00665AE7"/>
    <w:rsid w:val="00667616"/>
    <w:rsid w:val="00674D55"/>
    <w:rsid w:val="006779B7"/>
    <w:rsid w:val="006779B8"/>
    <w:rsid w:val="00680F62"/>
    <w:rsid w:val="006829F7"/>
    <w:rsid w:val="006830DC"/>
    <w:rsid w:val="0068476C"/>
    <w:rsid w:val="00684BA6"/>
    <w:rsid w:val="00686904"/>
    <w:rsid w:val="0069059E"/>
    <w:rsid w:val="00690EBE"/>
    <w:rsid w:val="00691DE9"/>
    <w:rsid w:val="00695BB3"/>
    <w:rsid w:val="0069731D"/>
    <w:rsid w:val="006978FD"/>
    <w:rsid w:val="006A3526"/>
    <w:rsid w:val="006A570A"/>
    <w:rsid w:val="006A6375"/>
    <w:rsid w:val="006B1D38"/>
    <w:rsid w:val="006B1E17"/>
    <w:rsid w:val="006B4365"/>
    <w:rsid w:val="006B598B"/>
    <w:rsid w:val="006C0BD2"/>
    <w:rsid w:val="006D0808"/>
    <w:rsid w:val="006D2163"/>
    <w:rsid w:val="006D2540"/>
    <w:rsid w:val="006D2B84"/>
    <w:rsid w:val="006D2E69"/>
    <w:rsid w:val="006E084C"/>
    <w:rsid w:val="006E21F5"/>
    <w:rsid w:val="006E2ADC"/>
    <w:rsid w:val="006E2C92"/>
    <w:rsid w:val="006E58D4"/>
    <w:rsid w:val="006E5AC3"/>
    <w:rsid w:val="006E7777"/>
    <w:rsid w:val="006E7F19"/>
    <w:rsid w:val="006F3744"/>
    <w:rsid w:val="006F427B"/>
    <w:rsid w:val="006F4FA7"/>
    <w:rsid w:val="006F7857"/>
    <w:rsid w:val="0070009B"/>
    <w:rsid w:val="0070071B"/>
    <w:rsid w:val="00713001"/>
    <w:rsid w:val="00715973"/>
    <w:rsid w:val="00717330"/>
    <w:rsid w:val="007208CC"/>
    <w:rsid w:val="00721C0E"/>
    <w:rsid w:val="00721F4F"/>
    <w:rsid w:val="00735646"/>
    <w:rsid w:val="00742A35"/>
    <w:rsid w:val="007430D6"/>
    <w:rsid w:val="007456B6"/>
    <w:rsid w:val="00746AF2"/>
    <w:rsid w:val="007549FC"/>
    <w:rsid w:val="00766147"/>
    <w:rsid w:val="00766703"/>
    <w:rsid w:val="00767555"/>
    <w:rsid w:val="00771FD9"/>
    <w:rsid w:val="007723D6"/>
    <w:rsid w:val="00773ED3"/>
    <w:rsid w:val="00777BFB"/>
    <w:rsid w:val="0078564D"/>
    <w:rsid w:val="007858E0"/>
    <w:rsid w:val="00787EA5"/>
    <w:rsid w:val="00793269"/>
    <w:rsid w:val="007971BB"/>
    <w:rsid w:val="007A03F2"/>
    <w:rsid w:val="007A4FC1"/>
    <w:rsid w:val="007B0B33"/>
    <w:rsid w:val="007B0BC8"/>
    <w:rsid w:val="007B13C5"/>
    <w:rsid w:val="007B4AD3"/>
    <w:rsid w:val="007B5403"/>
    <w:rsid w:val="007C1600"/>
    <w:rsid w:val="007C1618"/>
    <w:rsid w:val="007C2AA9"/>
    <w:rsid w:val="007C4CB5"/>
    <w:rsid w:val="007C64EE"/>
    <w:rsid w:val="007D0961"/>
    <w:rsid w:val="007D195C"/>
    <w:rsid w:val="007D4622"/>
    <w:rsid w:val="007D4887"/>
    <w:rsid w:val="007D7620"/>
    <w:rsid w:val="007D77C4"/>
    <w:rsid w:val="007E452F"/>
    <w:rsid w:val="007E6D95"/>
    <w:rsid w:val="007F735E"/>
    <w:rsid w:val="00800E2E"/>
    <w:rsid w:val="008025D6"/>
    <w:rsid w:val="00803A9A"/>
    <w:rsid w:val="0080439B"/>
    <w:rsid w:val="00805DEE"/>
    <w:rsid w:val="00805FE9"/>
    <w:rsid w:val="00806F8A"/>
    <w:rsid w:val="00820A7B"/>
    <w:rsid w:val="00820D0B"/>
    <w:rsid w:val="00821E3D"/>
    <w:rsid w:val="008225FB"/>
    <w:rsid w:val="00822CFA"/>
    <w:rsid w:val="008342D1"/>
    <w:rsid w:val="00834B21"/>
    <w:rsid w:val="008360DA"/>
    <w:rsid w:val="008369EF"/>
    <w:rsid w:val="00844DF9"/>
    <w:rsid w:val="00846BFC"/>
    <w:rsid w:val="008528E1"/>
    <w:rsid w:val="00855418"/>
    <w:rsid w:val="00855443"/>
    <w:rsid w:val="00861F17"/>
    <w:rsid w:val="00862C08"/>
    <w:rsid w:val="008643BD"/>
    <w:rsid w:val="00866B03"/>
    <w:rsid w:val="00870578"/>
    <w:rsid w:val="00870B9F"/>
    <w:rsid w:val="00872ED8"/>
    <w:rsid w:val="00873983"/>
    <w:rsid w:val="00881034"/>
    <w:rsid w:val="00881CF8"/>
    <w:rsid w:val="008826FA"/>
    <w:rsid w:val="00890DDD"/>
    <w:rsid w:val="00895342"/>
    <w:rsid w:val="00895629"/>
    <w:rsid w:val="008A5C68"/>
    <w:rsid w:val="008A6C21"/>
    <w:rsid w:val="008A7D56"/>
    <w:rsid w:val="008B11C6"/>
    <w:rsid w:val="008B2097"/>
    <w:rsid w:val="008B22DA"/>
    <w:rsid w:val="008B4082"/>
    <w:rsid w:val="008B78C1"/>
    <w:rsid w:val="008B78C4"/>
    <w:rsid w:val="008C0DCA"/>
    <w:rsid w:val="008C439F"/>
    <w:rsid w:val="008C63F1"/>
    <w:rsid w:val="008C67A6"/>
    <w:rsid w:val="008D2419"/>
    <w:rsid w:val="008D401C"/>
    <w:rsid w:val="008D5891"/>
    <w:rsid w:val="008D5F97"/>
    <w:rsid w:val="008E06F4"/>
    <w:rsid w:val="008E39B0"/>
    <w:rsid w:val="008F4F64"/>
    <w:rsid w:val="008F535B"/>
    <w:rsid w:val="00900515"/>
    <w:rsid w:val="0090051E"/>
    <w:rsid w:val="00902107"/>
    <w:rsid w:val="009075C9"/>
    <w:rsid w:val="009124C2"/>
    <w:rsid w:val="00913562"/>
    <w:rsid w:val="00917F35"/>
    <w:rsid w:val="00922487"/>
    <w:rsid w:val="009229E4"/>
    <w:rsid w:val="00925056"/>
    <w:rsid w:val="00926A3E"/>
    <w:rsid w:val="009271A8"/>
    <w:rsid w:val="009317D1"/>
    <w:rsid w:val="00933664"/>
    <w:rsid w:val="00940E45"/>
    <w:rsid w:val="00944276"/>
    <w:rsid w:val="0094446E"/>
    <w:rsid w:val="00944D4C"/>
    <w:rsid w:val="00945A8E"/>
    <w:rsid w:val="00952805"/>
    <w:rsid w:val="00952E0D"/>
    <w:rsid w:val="00953163"/>
    <w:rsid w:val="009534B2"/>
    <w:rsid w:val="00953525"/>
    <w:rsid w:val="00953804"/>
    <w:rsid w:val="0095629D"/>
    <w:rsid w:val="00962795"/>
    <w:rsid w:val="009652DA"/>
    <w:rsid w:val="00970360"/>
    <w:rsid w:val="00970761"/>
    <w:rsid w:val="00970B22"/>
    <w:rsid w:val="00971C8C"/>
    <w:rsid w:val="00973739"/>
    <w:rsid w:val="0097602A"/>
    <w:rsid w:val="00982B8C"/>
    <w:rsid w:val="00983C23"/>
    <w:rsid w:val="0098704B"/>
    <w:rsid w:val="00991746"/>
    <w:rsid w:val="009A06C5"/>
    <w:rsid w:val="009B1455"/>
    <w:rsid w:val="009B2E62"/>
    <w:rsid w:val="009C5424"/>
    <w:rsid w:val="009C70AB"/>
    <w:rsid w:val="009C76B4"/>
    <w:rsid w:val="009D1B8D"/>
    <w:rsid w:val="009D3659"/>
    <w:rsid w:val="009D485B"/>
    <w:rsid w:val="009D6192"/>
    <w:rsid w:val="009F1FA0"/>
    <w:rsid w:val="009F3CB4"/>
    <w:rsid w:val="009F7014"/>
    <w:rsid w:val="009F7167"/>
    <w:rsid w:val="00A01D5F"/>
    <w:rsid w:val="00A12EB3"/>
    <w:rsid w:val="00A14D84"/>
    <w:rsid w:val="00A16E61"/>
    <w:rsid w:val="00A1703B"/>
    <w:rsid w:val="00A208BA"/>
    <w:rsid w:val="00A21CA6"/>
    <w:rsid w:val="00A264F0"/>
    <w:rsid w:val="00A26F36"/>
    <w:rsid w:val="00A27BB8"/>
    <w:rsid w:val="00A27C33"/>
    <w:rsid w:val="00A30DF9"/>
    <w:rsid w:val="00A3121F"/>
    <w:rsid w:val="00A343AB"/>
    <w:rsid w:val="00A37ED1"/>
    <w:rsid w:val="00A43092"/>
    <w:rsid w:val="00A432F7"/>
    <w:rsid w:val="00A4490F"/>
    <w:rsid w:val="00A47494"/>
    <w:rsid w:val="00A47F79"/>
    <w:rsid w:val="00A50F97"/>
    <w:rsid w:val="00A514D3"/>
    <w:rsid w:val="00A549E0"/>
    <w:rsid w:val="00A54F7F"/>
    <w:rsid w:val="00A55B17"/>
    <w:rsid w:val="00A5655F"/>
    <w:rsid w:val="00A627C7"/>
    <w:rsid w:val="00A62B27"/>
    <w:rsid w:val="00A64A26"/>
    <w:rsid w:val="00A6656E"/>
    <w:rsid w:val="00A6675B"/>
    <w:rsid w:val="00A67D44"/>
    <w:rsid w:val="00A735CF"/>
    <w:rsid w:val="00A7482D"/>
    <w:rsid w:val="00A767B4"/>
    <w:rsid w:val="00A804ED"/>
    <w:rsid w:val="00A80ED6"/>
    <w:rsid w:val="00A80FF2"/>
    <w:rsid w:val="00A82009"/>
    <w:rsid w:val="00A82D53"/>
    <w:rsid w:val="00A835D2"/>
    <w:rsid w:val="00A92923"/>
    <w:rsid w:val="00A93480"/>
    <w:rsid w:val="00A93582"/>
    <w:rsid w:val="00A950ED"/>
    <w:rsid w:val="00A96B60"/>
    <w:rsid w:val="00AA12AD"/>
    <w:rsid w:val="00AA1C69"/>
    <w:rsid w:val="00AB00BA"/>
    <w:rsid w:val="00AB322A"/>
    <w:rsid w:val="00AB3990"/>
    <w:rsid w:val="00AB6C6F"/>
    <w:rsid w:val="00AB6F8E"/>
    <w:rsid w:val="00AC1DDA"/>
    <w:rsid w:val="00AC701F"/>
    <w:rsid w:val="00AC7BAF"/>
    <w:rsid w:val="00AE2F62"/>
    <w:rsid w:val="00AE3113"/>
    <w:rsid w:val="00AE46A1"/>
    <w:rsid w:val="00AE71AD"/>
    <w:rsid w:val="00AF285B"/>
    <w:rsid w:val="00B013F6"/>
    <w:rsid w:val="00B03B2D"/>
    <w:rsid w:val="00B11AE5"/>
    <w:rsid w:val="00B143AC"/>
    <w:rsid w:val="00B1735A"/>
    <w:rsid w:val="00B2766B"/>
    <w:rsid w:val="00B3085B"/>
    <w:rsid w:val="00B30BCE"/>
    <w:rsid w:val="00B31450"/>
    <w:rsid w:val="00B337AA"/>
    <w:rsid w:val="00B33DF5"/>
    <w:rsid w:val="00B348F9"/>
    <w:rsid w:val="00B35A44"/>
    <w:rsid w:val="00B4128A"/>
    <w:rsid w:val="00B50161"/>
    <w:rsid w:val="00B51E58"/>
    <w:rsid w:val="00B5448B"/>
    <w:rsid w:val="00B55069"/>
    <w:rsid w:val="00B5698D"/>
    <w:rsid w:val="00B640CD"/>
    <w:rsid w:val="00B64925"/>
    <w:rsid w:val="00B64A2E"/>
    <w:rsid w:val="00B67431"/>
    <w:rsid w:val="00B74C62"/>
    <w:rsid w:val="00B80D63"/>
    <w:rsid w:val="00B8134B"/>
    <w:rsid w:val="00B8269D"/>
    <w:rsid w:val="00B83F56"/>
    <w:rsid w:val="00B846BA"/>
    <w:rsid w:val="00B84756"/>
    <w:rsid w:val="00B85E50"/>
    <w:rsid w:val="00B8687F"/>
    <w:rsid w:val="00B941D8"/>
    <w:rsid w:val="00B95A1A"/>
    <w:rsid w:val="00BA14A3"/>
    <w:rsid w:val="00BA4900"/>
    <w:rsid w:val="00BA5246"/>
    <w:rsid w:val="00BA5DE5"/>
    <w:rsid w:val="00BA68BD"/>
    <w:rsid w:val="00BA6D3F"/>
    <w:rsid w:val="00BB0666"/>
    <w:rsid w:val="00BB1CE6"/>
    <w:rsid w:val="00BB73CE"/>
    <w:rsid w:val="00BB74AF"/>
    <w:rsid w:val="00BC2660"/>
    <w:rsid w:val="00BD1A32"/>
    <w:rsid w:val="00BD249B"/>
    <w:rsid w:val="00BD2DFA"/>
    <w:rsid w:val="00BD644A"/>
    <w:rsid w:val="00BE271A"/>
    <w:rsid w:val="00BE48BA"/>
    <w:rsid w:val="00BE54BE"/>
    <w:rsid w:val="00BE626A"/>
    <w:rsid w:val="00BE633A"/>
    <w:rsid w:val="00BE7BB4"/>
    <w:rsid w:val="00BF27FF"/>
    <w:rsid w:val="00BF4A77"/>
    <w:rsid w:val="00BF510D"/>
    <w:rsid w:val="00C00259"/>
    <w:rsid w:val="00C002A0"/>
    <w:rsid w:val="00C00C9F"/>
    <w:rsid w:val="00C01C3A"/>
    <w:rsid w:val="00C11C99"/>
    <w:rsid w:val="00C12FE8"/>
    <w:rsid w:val="00C1352B"/>
    <w:rsid w:val="00C16D6F"/>
    <w:rsid w:val="00C2048C"/>
    <w:rsid w:val="00C20849"/>
    <w:rsid w:val="00C219D1"/>
    <w:rsid w:val="00C22B80"/>
    <w:rsid w:val="00C243BC"/>
    <w:rsid w:val="00C30AD2"/>
    <w:rsid w:val="00C36864"/>
    <w:rsid w:val="00C42205"/>
    <w:rsid w:val="00C42B72"/>
    <w:rsid w:val="00C446D4"/>
    <w:rsid w:val="00C44988"/>
    <w:rsid w:val="00C460A6"/>
    <w:rsid w:val="00C463C5"/>
    <w:rsid w:val="00C50F85"/>
    <w:rsid w:val="00C536AA"/>
    <w:rsid w:val="00C61F0F"/>
    <w:rsid w:val="00C62545"/>
    <w:rsid w:val="00C644F2"/>
    <w:rsid w:val="00C70BD5"/>
    <w:rsid w:val="00C72350"/>
    <w:rsid w:val="00C7652A"/>
    <w:rsid w:val="00C76560"/>
    <w:rsid w:val="00C8194F"/>
    <w:rsid w:val="00C849A4"/>
    <w:rsid w:val="00C86E6A"/>
    <w:rsid w:val="00C873C1"/>
    <w:rsid w:val="00C902C8"/>
    <w:rsid w:val="00C91FF3"/>
    <w:rsid w:val="00C95B05"/>
    <w:rsid w:val="00CA0125"/>
    <w:rsid w:val="00CA143A"/>
    <w:rsid w:val="00CA2952"/>
    <w:rsid w:val="00CA310E"/>
    <w:rsid w:val="00CA3FC1"/>
    <w:rsid w:val="00CB03CB"/>
    <w:rsid w:val="00CB03D4"/>
    <w:rsid w:val="00CB2EC5"/>
    <w:rsid w:val="00CB791A"/>
    <w:rsid w:val="00CC2A45"/>
    <w:rsid w:val="00CC2D75"/>
    <w:rsid w:val="00CC2EBE"/>
    <w:rsid w:val="00CC4137"/>
    <w:rsid w:val="00CC445B"/>
    <w:rsid w:val="00CC55EE"/>
    <w:rsid w:val="00CC5609"/>
    <w:rsid w:val="00CC5993"/>
    <w:rsid w:val="00CC7AAA"/>
    <w:rsid w:val="00CD28EF"/>
    <w:rsid w:val="00CD68A1"/>
    <w:rsid w:val="00CD7145"/>
    <w:rsid w:val="00CE1190"/>
    <w:rsid w:val="00CE5DC8"/>
    <w:rsid w:val="00CE6348"/>
    <w:rsid w:val="00CE7579"/>
    <w:rsid w:val="00CF284E"/>
    <w:rsid w:val="00CF40F5"/>
    <w:rsid w:val="00D00369"/>
    <w:rsid w:val="00D019A2"/>
    <w:rsid w:val="00D02ACF"/>
    <w:rsid w:val="00D1455B"/>
    <w:rsid w:val="00D15F93"/>
    <w:rsid w:val="00D26B96"/>
    <w:rsid w:val="00D302D0"/>
    <w:rsid w:val="00D314EE"/>
    <w:rsid w:val="00D330CF"/>
    <w:rsid w:val="00D369D3"/>
    <w:rsid w:val="00D40D2D"/>
    <w:rsid w:val="00D4199B"/>
    <w:rsid w:val="00D42566"/>
    <w:rsid w:val="00D43DC1"/>
    <w:rsid w:val="00D4409F"/>
    <w:rsid w:val="00D447C7"/>
    <w:rsid w:val="00D44F80"/>
    <w:rsid w:val="00D50903"/>
    <w:rsid w:val="00D51AB6"/>
    <w:rsid w:val="00D52132"/>
    <w:rsid w:val="00D53A89"/>
    <w:rsid w:val="00D634F5"/>
    <w:rsid w:val="00D652A3"/>
    <w:rsid w:val="00D675D4"/>
    <w:rsid w:val="00D67B7D"/>
    <w:rsid w:val="00D67E06"/>
    <w:rsid w:val="00D70042"/>
    <w:rsid w:val="00D72886"/>
    <w:rsid w:val="00D74EE9"/>
    <w:rsid w:val="00D762F0"/>
    <w:rsid w:val="00D77253"/>
    <w:rsid w:val="00D823D2"/>
    <w:rsid w:val="00D8267E"/>
    <w:rsid w:val="00D83FB5"/>
    <w:rsid w:val="00D86F9D"/>
    <w:rsid w:val="00D91743"/>
    <w:rsid w:val="00D9380C"/>
    <w:rsid w:val="00D93E6A"/>
    <w:rsid w:val="00D941AC"/>
    <w:rsid w:val="00D97F9F"/>
    <w:rsid w:val="00DA3FA6"/>
    <w:rsid w:val="00DA6EFD"/>
    <w:rsid w:val="00DA7220"/>
    <w:rsid w:val="00DB06B8"/>
    <w:rsid w:val="00DB0A8F"/>
    <w:rsid w:val="00DB24AA"/>
    <w:rsid w:val="00DB4A76"/>
    <w:rsid w:val="00DB6413"/>
    <w:rsid w:val="00DC3AEE"/>
    <w:rsid w:val="00DC6CBA"/>
    <w:rsid w:val="00DC757C"/>
    <w:rsid w:val="00DD4B57"/>
    <w:rsid w:val="00DD4FF1"/>
    <w:rsid w:val="00DD684F"/>
    <w:rsid w:val="00DD7403"/>
    <w:rsid w:val="00DE3C33"/>
    <w:rsid w:val="00DE6F8C"/>
    <w:rsid w:val="00DF2B59"/>
    <w:rsid w:val="00DF6634"/>
    <w:rsid w:val="00E14D66"/>
    <w:rsid w:val="00E25848"/>
    <w:rsid w:val="00E258BF"/>
    <w:rsid w:val="00E30A25"/>
    <w:rsid w:val="00E33174"/>
    <w:rsid w:val="00E40FA0"/>
    <w:rsid w:val="00E52D41"/>
    <w:rsid w:val="00E5735C"/>
    <w:rsid w:val="00E629E7"/>
    <w:rsid w:val="00E64382"/>
    <w:rsid w:val="00E703BE"/>
    <w:rsid w:val="00E70B6D"/>
    <w:rsid w:val="00E72425"/>
    <w:rsid w:val="00E72FD4"/>
    <w:rsid w:val="00E7353F"/>
    <w:rsid w:val="00E74778"/>
    <w:rsid w:val="00E76DB1"/>
    <w:rsid w:val="00E81F46"/>
    <w:rsid w:val="00E8241B"/>
    <w:rsid w:val="00E84AC6"/>
    <w:rsid w:val="00E84CA5"/>
    <w:rsid w:val="00E85D6B"/>
    <w:rsid w:val="00E863F7"/>
    <w:rsid w:val="00E91E94"/>
    <w:rsid w:val="00E92BBA"/>
    <w:rsid w:val="00E94A9E"/>
    <w:rsid w:val="00E94B81"/>
    <w:rsid w:val="00EA41EA"/>
    <w:rsid w:val="00EB0AFF"/>
    <w:rsid w:val="00EB1BCD"/>
    <w:rsid w:val="00EB2C64"/>
    <w:rsid w:val="00EB3148"/>
    <w:rsid w:val="00EB433A"/>
    <w:rsid w:val="00EB5642"/>
    <w:rsid w:val="00EC0854"/>
    <w:rsid w:val="00EC0B55"/>
    <w:rsid w:val="00EC0F61"/>
    <w:rsid w:val="00EC1FBD"/>
    <w:rsid w:val="00EC33BA"/>
    <w:rsid w:val="00EC4723"/>
    <w:rsid w:val="00EC794A"/>
    <w:rsid w:val="00ED2389"/>
    <w:rsid w:val="00ED2F12"/>
    <w:rsid w:val="00ED63CC"/>
    <w:rsid w:val="00EE0DA8"/>
    <w:rsid w:val="00EE664C"/>
    <w:rsid w:val="00EF0185"/>
    <w:rsid w:val="00EF0349"/>
    <w:rsid w:val="00EF606D"/>
    <w:rsid w:val="00EF77BA"/>
    <w:rsid w:val="00F00BF8"/>
    <w:rsid w:val="00F02CD2"/>
    <w:rsid w:val="00F02FE8"/>
    <w:rsid w:val="00F03852"/>
    <w:rsid w:val="00F03B10"/>
    <w:rsid w:val="00F045D4"/>
    <w:rsid w:val="00F11549"/>
    <w:rsid w:val="00F123EC"/>
    <w:rsid w:val="00F13CD5"/>
    <w:rsid w:val="00F15265"/>
    <w:rsid w:val="00F161CE"/>
    <w:rsid w:val="00F20B55"/>
    <w:rsid w:val="00F21B57"/>
    <w:rsid w:val="00F21CFA"/>
    <w:rsid w:val="00F231D6"/>
    <w:rsid w:val="00F255F6"/>
    <w:rsid w:val="00F30C38"/>
    <w:rsid w:val="00F35A97"/>
    <w:rsid w:val="00F42B75"/>
    <w:rsid w:val="00F453B7"/>
    <w:rsid w:val="00F46BFA"/>
    <w:rsid w:val="00F46E42"/>
    <w:rsid w:val="00F5241C"/>
    <w:rsid w:val="00F56F91"/>
    <w:rsid w:val="00F61B3C"/>
    <w:rsid w:val="00F61BA3"/>
    <w:rsid w:val="00F67B0A"/>
    <w:rsid w:val="00F70675"/>
    <w:rsid w:val="00F72653"/>
    <w:rsid w:val="00F75C81"/>
    <w:rsid w:val="00F7655B"/>
    <w:rsid w:val="00F7701C"/>
    <w:rsid w:val="00F819C8"/>
    <w:rsid w:val="00F82C2D"/>
    <w:rsid w:val="00F8404E"/>
    <w:rsid w:val="00F859C0"/>
    <w:rsid w:val="00F93EB8"/>
    <w:rsid w:val="00F95500"/>
    <w:rsid w:val="00F962A4"/>
    <w:rsid w:val="00FA0F3D"/>
    <w:rsid w:val="00FA5B2F"/>
    <w:rsid w:val="00FA60C1"/>
    <w:rsid w:val="00FA6352"/>
    <w:rsid w:val="00FA6A63"/>
    <w:rsid w:val="00FA6B10"/>
    <w:rsid w:val="00FB0B40"/>
    <w:rsid w:val="00FB4983"/>
    <w:rsid w:val="00FB50A9"/>
    <w:rsid w:val="00FB5E2A"/>
    <w:rsid w:val="00FB6514"/>
    <w:rsid w:val="00FB68A1"/>
    <w:rsid w:val="00FC061D"/>
    <w:rsid w:val="00FC17A7"/>
    <w:rsid w:val="00FC20BB"/>
    <w:rsid w:val="00FC4883"/>
    <w:rsid w:val="00FC5524"/>
    <w:rsid w:val="00FC68F9"/>
    <w:rsid w:val="00FD4448"/>
    <w:rsid w:val="00FD4D55"/>
    <w:rsid w:val="00FD5E93"/>
    <w:rsid w:val="00FD66C3"/>
    <w:rsid w:val="00FE28D1"/>
    <w:rsid w:val="00FE4CFC"/>
    <w:rsid w:val="00FE4FB3"/>
    <w:rsid w:val="00FE533E"/>
    <w:rsid w:val="00FE5C36"/>
    <w:rsid w:val="00FF051E"/>
    <w:rsid w:val="00FF5997"/>
    <w:rsid w:val="00FF5E0E"/>
    <w:rsid w:val="00FF6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13285"/>
  <w15:chartTrackingRefBased/>
  <w15:docId w15:val="{0A9DEC84-63AE-4F0A-A370-3F1C5D932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ADF"/>
  </w:style>
  <w:style w:type="paragraph" w:styleId="Heading1">
    <w:name w:val="heading 1"/>
    <w:basedOn w:val="Normal"/>
    <w:next w:val="Normal"/>
    <w:link w:val="Heading1Char"/>
    <w:uiPriority w:val="9"/>
    <w:qFormat/>
    <w:rsid w:val="00053A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53A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72ED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BDB"/>
    <w:pPr>
      <w:ind w:left="720"/>
      <w:contextualSpacing/>
    </w:pPr>
  </w:style>
  <w:style w:type="table" w:styleId="TableGrid">
    <w:name w:val="Table Grid"/>
    <w:basedOn w:val="TableNormal"/>
    <w:uiPriority w:val="39"/>
    <w:rsid w:val="003E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54464"/>
    <w:rPr>
      <w:sz w:val="16"/>
      <w:szCs w:val="16"/>
    </w:rPr>
  </w:style>
  <w:style w:type="paragraph" w:styleId="CommentText">
    <w:name w:val="annotation text"/>
    <w:basedOn w:val="Normal"/>
    <w:link w:val="CommentTextChar"/>
    <w:uiPriority w:val="99"/>
    <w:semiHidden/>
    <w:unhideWhenUsed/>
    <w:rsid w:val="00154464"/>
    <w:pPr>
      <w:spacing w:line="240" w:lineRule="auto"/>
    </w:pPr>
    <w:rPr>
      <w:sz w:val="20"/>
      <w:szCs w:val="20"/>
    </w:rPr>
  </w:style>
  <w:style w:type="character" w:customStyle="1" w:styleId="CommentTextChar">
    <w:name w:val="Comment Text Char"/>
    <w:basedOn w:val="DefaultParagraphFont"/>
    <w:link w:val="CommentText"/>
    <w:uiPriority w:val="99"/>
    <w:semiHidden/>
    <w:rsid w:val="00154464"/>
    <w:rPr>
      <w:sz w:val="20"/>
      <w:szCs w:val="20"/>
    </w:rPr>
  </w:style>
  <w:style w:type="paragraph" w:styleId="CommentSubject">
    <w:name w:val="annotation subject"/>
    <w:basedOn w:val="CommentText"/>
    <w:next w:val="CommentText"/>
    <w:link w:val="CommentSubjectChar"/>
    <w:uiPriority w:val="99"/>
    <w:semiHidden/>
    <w:unhideWhenUsed/>
    <w:rsid w:val="00154464"/>
    <w:rPr>
      <w:b/>
      <w:bCs/>
    </w:rPr>
  </w:style>
  <w:style w:type="character" w:customStyle="1" w:styleId="CommentSubjectChar">
    <w:name w:val="Comment Subject Char"/>
    <w:basedOn w:val="CommentTextChar"/>
    <w:link w:val="CommentSubject"/>
    <w:uiPriority w:val="99"/>
    <w:semiHidden/>
    <w:rsid w:val="00154464"/>
    <w:rPr>
      <w:b/>
      <w:bCs/>
      <w:sz w:val="20"/>
      <w:szCs w:val="20"/>
    </w:rPr>
  </w:style>
  <w:style w:type="paragraph" w:styleId="BalloonText">
    <w:name w:val="Balloon Text"/>
    <w:basedOn w:val="Normal"/>
    <w:link w:val="BalloonTextChar"/>
    <w:uiPriority w:val="99"/>
    <w:semiHidden/>
    <w:unhideWhenUsed/>
    <w:rsid w:val="001544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464"/>
    <w:rPr>
      <w:rFonts w:ascii="Segoe UI" w:hAnsi="Segoe UI" w:cs="Segoe UI"/>
      <w:sz w:val="18"/>
      <w:szCs w:val="18"/>
    </w:rPr>
  </w:style>
  <w:style w:type="paragraph" w:styleId="FootnoteText">
    <w:name w:val="footnote text"/>
    <w:basedOn w:val="Normal"/>
    <w:link w:val="FootnoteTextChar"/>
    <w:uiPriority w:val="99"/>
    <w:semiHidden/>
    <w:unhideWhenUsed/>
    <w:rsid w:val="00EB1B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1BCD"/>
    <w:rPr>
      <w:sz w:val="20"/>
      <w:szCs w:val="20"/>
    </w:rPr>
  </w:style>
  <w:style w:type="character" w:styleId="FootnoteReference">
    <w:name w:val="footnote reference"/>
    <w:basedOn w:val="DefaultParagraphFont"/>
    <w:uiPriority w:val="99"/>
    <w:semiHidden/>
    <w:unhideWhenUsed/>
    <w:rsid w:val="00EB1BCD"/>
    <w:rPr>
      <w:vertAlign w:val="superscript"/>
    </w:rPr>
  </w:style>
  <w:style w:type="character" w:customStyle="1" w:styleId="Heading1Char">
    <w:name w:val="Heading 1 Char"/>
    <w:basedOn w:val="DefaultParagraphFont"/>
    <w:link w:val="Heading1"/>
    <w:uiPriority w:val="9"/>
    <w:rsid w:val="00053AA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053AAE"/>
    <w:pPr>
      <w:outlineLvl w:val="9"/>
    </w:pPr>
  </w:style>
  <w:style w:type="character" w:customStyle="1" w:styleId="Heading2Char">
    <w:name w:val="Heading 2 Char"/>
    <w:basedOn w:val="DefaultParagraphFont"/>
    <w:link w:val="Heading2"/>
    <w:uiPriority w:val="9"/>
    <w:semiHidden/>
    <w:rsid w:val="00053AAE"/>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45712D"/>
    <w:pPr>
      <w:spacing w:after="100"/>
    </w:pPr>
  </w:style>
  <w:style w:type="paragraph" w:styleId="TOC2">
    <w:name w:val="toc 2"/>
    <w:basedOn w:val="Normal"/>
    <w:next w:val="Normal"/>
    <w:autoRedefine/>
    <w:uiPriority w:val="39"/>
    <w:unhideWhenUsed/>
    <w:rsid w:val="0045712D"/>
    <w:pPr>
      <w:spacing w:after="100"/>
      <w:ind w:left="220"/>
    </w:pPr>
  </w:style>
  <w:style w:type="character" w:styleId="Hyperlink">
    <w:name w:val="Hyperlink"/>
    <w:basedOn w:val="DefaultParagraphFont"/>
    <w:uiPriority w:val="99"/>
    <w:unhideWhenUsed/>
    <w:rsid w:val="0045712D"/>
    <w:rPr>
      <w:color w:val="0563C1" w:themeColor="hyperlink"/>
      <w:u w:val="single"/>
    </w:rPr>
  </w:style>
  <w:style w:type="paragraph" w:styleId="Header">
    <w:name w:val="header"/>
    <w:basedOn w:val="Normal"/>
    <w:link w:val="HeaderChar"/>
    <w:uiPriority w:val="99"/>
    <w:unhideWhenUsed/>
    <w:rsid w:val="00D440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09F"/>
  </w:style>
  <w:style w:type="paragraph" w:styleId="Footer">
    <w:name w:val="footer"/>
    <w:basedOn w:val="Normal"/>
    <w:link w:val="FooterChar"/>
    <w:uiPriority w:val="99"/>
    <w:unhideWhenUsed/>
    <w:rsid w:val="00D440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09F"/>
  </w:style>
  <w:style w:type="table" w:styleId="PlainTable5">
    <w:name w:val="Plain Table 5"/>
    <w:basedOn w:val="TableNormal"/>
    <w:uiPriority w:val="45"/>
    <w:rsid w:val="0038675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38675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Accent3">
    <w:name w:val="Grid Table 5 Dark Accent 3"/>
    <w:basedOn w:val="TableNormal"/>
    <w:uiPriority w:val="50"/>
    <w:rsid w:val="0038675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2">
    <w:name w:val="Grid Table 2"/>
    <w:basedOn w:val="TableNormal"/>
    <w:uiPriority w:val="47"/>
    <w:rsid w:val="005403E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F93EB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semiHidden/>
    <w:rsid w:val="00872ED8"/>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0701C2"/>
    <w:pPr>
      <w:spacing w:after="100"/>
      <w:ind w:left="440"/>
    </w:pPr>
  </w:style>
  <w:style w:type="character" w:styleId="FollowedHyperlink">
    <w:name w:val="FollowedHyperlink"/>
    <w:basedOn w:val="DefaultParagraphFont"/>
    <w:uiPriority w:val="99"/>
    <w:semiHidden/>
    <w:unhideWhenUsed/>
    <w:rsid w:val="00280A17"/>
    <w:rPr>
      <w:color w:val="954F72" w:themeColor="followedHyperlink"/>
      <w:u w:val="single"/>
    </w:rPr>
  </w:style>
  <w:style w:type="character" w:styleId="UnresolvedMention">
    <w:name w:val="Unresolved Mention"/>
    <w:basedOn w:val="DefaultParagraphFont"/>
    <w:uiPriority w:val="99"/>
    <w:semiHidden/>
    <w:unhideWhenUsed/>
    <w:rsid w:val="00181675"/>
    <w:rPr>
      <w:color w:val="605E5C"/>
      <w:shd w:val="clear" w:color="auto" w:fill="E1DFDD"/>
    </w:rPr>
  </w:style>
  <w:style w:type="character" w:customStyle="1" w:styleId="apple-converted-space">
    <w:name w:val="apple-converted-space"/>
    <w:basedOn w:val="DefaultParagraphFont"/>
    <w:rsid w:val="00663AAC"/>
  </w:style>
  <w:style w:type="paragraph" w:styleId="Revision">
    <w:name w:val="Revision"/>
    <w:hidden/>
    <w:uiPriority w:val="99"/>
    <w:semiHidden/>
    <w:rsid w:val="009534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21591">
      <w:bodyDiv w:val="1"/>
      <w:marLeft w:val="0"/>
      <w:marRight w:val="0"/>
      <w:marTop w:val="0"/>
      <w:marBottom w:val="0"/>
      <w:divBdr>
        <w:top w:val="none" w:sz="0" w:space="0" w:color="auto"/>
        <w:left w:val="none" w:sz="0" w:space="0" w:color="auto"/>
        <w:bottom w:val="none" w:sz="0" w:space="0" w:color="auto"/>
        <w:right w:val="none" w:sz="0" w:space="0" w:color="auto"/>
      </w:divBdr>
    </w:div>
    <w:div w:id="317421532">
      <w:bodyDiv w:val="1"/>
      <w:marLeft w:val="0"/>
      <w:marRight w:val="0"/>
      <w:marTop w:val="0"/>
      <w:marBottom w:val="0"/>
      <w:divBdr>
        <w:top w:val="none" w:sz="0" w:space="0" w:color="auto"/>
        <w:left w:val="none" w:sz="0" w:space="0" w:color="auto"/>
        <w:bottom w:val="none" w:sz="0" w:space="0" w:color="auto"/>
        <w:right w:val="none" w:sz="0" w:space="0" w:color="auto"/>
      </w:divBdr>
      <w:divsChild>
        <w:div w:id="206840012">
          <w:marLeft w:val="0"/>
          <w:marRight w:val="0"/>
          <w:marTop w:val="0"/>
          <w:marBottom w:val="0"/>
          <w:divBdr>
            <w:top w:val="none" w:sz="0" w:space="0" w:color="auto"/>
            <w:left w:val="none" w:sz="0" w:space="0" w:color="auto"/>
            <w:bottom w:val="none" w:sz="0" w:space="0" w:color="auto"/>
            <w:right w:val="none" w:sz="0" w:space="0" w:color="auto"/>
          </w:divBdr>
        </w:div>
        <w:div w:id="242568279">
          <w:marLeft w:val="0"/>
          <w:marRight w:val="0"/>
          <w:marTop w:val="0"/>
          <w:marBottom w:val="0"/>
          <w:divBdr>
            <w:top w:val="none" w:sz="0" w:space="0" w:color="auto"/>
            <w:left w:val="none" w:sz="0" w:space="0" w:color="auto"/>
            <w:bottom w:val="none" w:sz="0" w:space="0" w:color="auto"/>
            <w:right w:val="none" w:sz="0" w:space="0" w:color="auto"/>
          </w:divBdr>
        </w:div>
        <w:div w:id="258415026">
          <w:marLeft w:val="0"/>
          <w:marRight w:val="0"/>
          <w:marTop w:val="0"/>
          <w:marBottom w:val="0"/>
          <w:divBdr>
            <w:top w:val="none" w:sz="0" w:space="0" w:color="auto"/>
            <w:left w:val="none" w:sz="0" w:space="0" w:color="auto"/>
            <w:bottom w:val="none" w:sz="0" w:space="0" w:color="auto"/>
            <w:right w:val="none" w:sz="0" w:space="0" w:color="auto"/>
          </w:divBdr>
        </w:div>
        <w:div w:id="471217457">
          <w:marLeft w:val="0"/>
          <w:marRight w:val="0"/>
          <w:marTop w:val="0"/>
          <w:marBottom w:val="0"/>
          <w:divBdr>
            <w:top w:val="none" w:sz="0" w:space="0" w:color="auto"/>
            <w:left w:val="none" w:sz="0" w:space="0" w:color="auto"/>
            <w:bottom w:val="none" w:sz="0" w:space="0" w:color="auto"/>
            <w:right w:val="none" w:sz="0" w:space="0" w:color="auto"/>
          </w:divBdr>
        </w:div>
        <w:div w:id="495652659">
          <w:marLeft w:val="0"/>
          <w:marRight w:val="0"/>
          <w:marTop w:val="0"/>
          <w:marBottom w:val="0"/>
          <w:divBdr>
            <w:top w:val="none" w:sz="0" w:space="0" w:color="auto"/>
            <w:left w:val="none" w:sz="0" w:space="0" w:color="auto"/>
            <w:bottom w:val="none" w:sz="0" w:space="0" w:color="auto"/>
            <w:right w:val="none" w:sz="0" w:space="0" w:color="auto"/>
          </w:divBdr>
        </w:div>
        <w:div w:id="524516897">
          <w:marLeft w:val="0"/>
          <w:marRight w:val="0"/>
          <w:marTop w:val="0"/>
          <w:marBottom w:val="0"/>
          <w:divBdr>
            <w:top w:val="none" w:sz="0" w:space="0" w:color="auto"/>
            <w:left w:val="none" w:sz="0" w:space="0" w:color="auto"/>
            <w:bottom w:val="none" w:sz="0" w:space="0" w:color="auto"/>
            <w:right w:val="none" w:sz="0" w:space="0" w:color="auto"/>
          </w:divBdr>
        </w:div>
        <w:div w:id="528686665">
          <w:marLeft w:val="0"/>
          <w:marRight w:val="0"/>
          <w:marTop w:val="0"/>
          <w:marBottom w:val="0"/>
          <w:divBdr>
            <w:top w:val="none" w:sz="0" w:space="0" w:color="auto"/>
            <w:left w:val="none" w:sz="0" w:space="0" w:color="auto"/>
            <w:bottom w:val="none" w:sz="0" w:space="0" w:color="auto"/>
            <w:right w:val="none" w:sz="0" w:space="0" w:color="auto"/>
          </w:divBdr>
        </w:div>
        <w:div w:id="568930479">
          <w:marLeft w:val="0"/>
          <w:marRight w:val="0"/>
          <w:marTop w:val="0"/>
          <w:marBottom w:val="0"/>
          <w:divBdr>
            <w:top w:val="none" w:sz="0" w:space="0" w:color="auto"/>
            <w:left w:val="none" w:sz="0" w:space="0" w:color="auto"/>
            <w:bottom w:val="none" w:sz="0" w:space="0" w:color="auto"/>
            <w:right w:val="none" w:sz="0" w:space="0" w:color="auto"/>
          </w:divBdr>
        </w:div>
        <w:div w:id="792401428">
          <w:marLeft w:val="0"/>
          <w:marRight w:val="0"/>
          <w:marTop w:val="0"/>
          <w:marBottom w:val="0"/>
          <w:divBdr>
            <w:top w:val="none" w:sz="0" w:space="0" w:color="auto"/>
            <w:left w:val="none" w:sz="0" w:space="0" w:color="auto"/>
            <w:bottom w:val="none" w:sz="0" w:space="0" w:color="auto"/>
            <w:right w:val="none" w:sz="0" w:space="0" w:color="auto"/>
          </w:divBdr>
        </w:div>
        <w:div w:id="983585441">
          <w:marLeft w:val="0"/>
          <w:marRight w:val="0"/>
          <w:marTop w:val="0"/>
          <w:marBottom w:val="0"/>
          <w:divBdr>
            <w:top w:val="none" w:sz="0" w:space="0" w:color="auto"/>
            <w:left w:val="none" w:sz="0" w:space="0" w:color="auto"/>
            <w:bottom w:val="none" w:sz="0" w:space="0" w:color="auto"/>
            <w:right w:val="none" w:sz="0" w:space="0" w:color="auto"/>
          </w:divBdr>
        </w:div>
        <w:div w:id="1194612935">
          <w:marLeft w:val="0"/>
          <w:marRight w:val="0"/>
          <w:marTop w:val="0"/>
          <w:marBottom w:val="0"/>
          <w:divBdr>
            <w:top w:val="none" w:sz="0" w:space="0" w:color="auto"/>
            <w:left w:val="none" w:sz="0" w:space="0" w:color="auto"/>
            <w:bottom w:val="none" w:sz="0" w:space="0" w:color="auto"/>
            <w:right w:val="none" w:sz="0" w:space="0" w:color="auto"/>
          </w:divBdr>
        </w:div>
        <w:div w:id="1210456536">
          <w:marLeft w:val="0"/>
          <w:marRight w:val="0"/>
          <w:marTop w:val="0"/>
          <w:marBottom w:val="0"/>
          <w:divBdr>
            <w:top w:val="none" w:sz="0" w:space="0" w:color="auto"/>
            <w:left w:val="none" w:sz="0" w:space="0" w:color="auto"/>
            <w:bottom w:val="none" w:sz="0" w:space="0" w:color="auto"/>
            <w:right w:val="none" w:sz="0" w:space="0" w:color="auto"/>
          </w:divBdr>
        </w:div>
        <w:div w:id="1324627496">
          <w:marLeft w:val="0"/>
          <w:marRight w:val="0"/>
          <w:marTop w:val="0"/>
          <w:marBottom w:val="0"/>
          <w:divBdr>
            <w:top w:val="none" w:sz="0" w:space="0" w:color="auto"/>
            <w:left w:val="none" w:sz="0" w:space="0" w:color="auto"/>
            <w:bottom w:val="none" w:sz="0" w:space="0" w:color="auto"/>
            <w:right w:val="none" w:sz="0" w:space="0" w:color="auto"/>
          </w:divBdr>
        </w:div>
        <w:div w:id="1356881364">
          <w:marLeft w:val="0"/>
          <w:marRight w:val="0"/>
          <w:marTop w:val="0"/>
          <w:marBottom w:val="0"/>
          <w:divBdr>
            <w:top w:val="none" w:sz="0" w:space="0" w:color="auto"/>
            <w:left w:val="none" w:sz="0" w:space="0" w:color="auto"/>
            <w:bottom w:val="none" w:sz="0" w:space="0" w:color="auto"/>
            <w:right w:val="none" w:sz="0" w:space="0" w:color="auto"/>
          </w:divBdr>
        </w:div>
        <w:div w:id="1466005548">
          <w:marLeft w:val="0"/>
          <w:marRight w:val="0"/>
          <w:marTop w:val="0"/>
          <w:marBottom w:val="0"/>
          <w:divBdr>
            <w:top w:val="none" w:sz="0" w:space="0" w:color="auto"/>
            <w:left w:val="none" w:sz="0" w:space="0" w:color="auto"/>
            <w:bottom w:val="none" w:sz="0" w:space="0" w:color="auto"/>
            <w:right w:val="none" w:sz="0" w:space="0" w:color="auto"/>
          </w:divBdr>
        </w:div>
        <w:div w:id="1701393581">
          <w:marLeft w:val="0"/>
          <w:marRight w:val="0"/>
          <w:marTop w:val="0"/>
          <w:marBottom w:val="0"/>
          <w:divBdr>
            <w:top w:val="none" w:sz="0" w:space="0" w:color="auto"/>
            <w:left w:val="none" w:sz="0" w:space="0" w:color="auto"/>
            <w:bottom w:val="none" w:sz="0" w:space="0" w:color="auto"/>
            <w:right w:val="none" w:sz="0" w:space="0" w:color="auto"/>
          </w:divBdr>
        </w:div>
        <w:div w:id="1903326530">
          <w:marLeft w:val="0"/>
          <w:marRight w:val="0"/>
          <w:marTop w:val="0"/>
          <w:marBottom w:val="0"/>
          <w:divBdr>
            <w:top w:val="none" w:sz="0" w:space="0" w:color="auto"/>
            <w:left w:val="none" w:sz="0" w:space="0" w:color="auto"/>
            <w:bottom w:val="none" w:sz="0" w:space="0" w:color="auto"/>
            <w:right w:val="none" w:sz="0" w:space="0" w:color="auto"/>
          </w:divBdr>
        </w:div>
        <w:div w:id="1924996022">
          <w:marLeft w:val="0"/>
          <w:marRight w:val="0"/>
          <w:marTop w:val="0"/>
          <w:marBottom w:val="0"/>
          <w:divBdr>
            <w:top w:val="none" w:sz="0" w:space="0" w:color="auto"/>
            <w:left w:val="none" w:sz="0" w:space="0" w:color="auto"/>
            <w:bottom w:val="none" w:sz="0" w:space="0" w:color="auto"/>
            <w:right w:val="none" w:sz="0" w:space="0" w:color="auto"/>
          </w:divBdr>
        </w:div>
      </w:divsChild>
    </w:div>
    <w:div w:id="355619564">
      <w:bodyDiv w:val="1"/>
      <w:marLeft w:val="0"/>
      <w:marRight w:val="0"/>
      <w:marTop w:val="0"/>
      <w:marBottom w:val="0"/>
      <w:divBdr>
        <w:top w:val="none" w:sz="0" w:space="0" w:color="auto"/>
        <w:left w:val="none" w:sz="0" w:space="0" w:color="auto"/>
        <w:bottom w:val="none" w:sz="0" w:space="0" w:color="auto"/>
        <w:right w:val="none" w:sz="0" w:space="0" w:color="auto"/>
      </w:divBdr>
      <w:divsChild>
        <w:div w:id="1209562017">
          <w:marLeft w:val="360"/>
          <w:marRight w:val="0"/>
          <w:marTop w:val="200"/>
          <w:marBottom w:val="0"/>
          <w:divBdr>
            <w:top w:val="none" w:sz="0" w:space="0" w:color="auto"/>
            <w:left w:val="none" w:sz="0" w:space="0" w:color="auto"/>
            <w:bottom w:val="none" w:sz="0" w:space="0" w:color="auto"/>
            <w:right w:val="none" w:sz="0" w:space="0" w:color="auto"/>
          </w:divBdr>
        </w:div>
      </w:divsChild>
    </w:div>
    <w:div w:id="942760089">
      <w:bodyDiv w:val="1"/>
      <w:marLeft w:val="0"/>
      <w:marRight w:val="0"/>
      <w:marTop w:val="0"/>
      <w:marBottom w:val="0"/>
      <w:divBdr>
        <w:top w:val="none" w:sz="0" w:space="0" w:color="auto"/>
        <w:left w:val="none" w:sz="0" w:space="0" w:color="auto"/>
        <w:bottom w:val="none" w:sz="0" w:space="0" w:color="auto"/>
        <w:right w:val="none" w:sz="0" w:space="0" w:color="auto"/>
      </w:divBdr>
    </w:div>
    <w:div w:id="1017661611">
      <w:bodyDiv w:val="1"/>
      <w:marLeft w:val="0"/>
      <w:marRight w:val="0"/>
      <w:marTop w:val="0"/>
      <w:marBottom w:val="0"/>
      <w:divBdr>
        <w:top w:val="none" w:sz="0" w:space="0" w:color="auto"/>
        <w:left w:val="none" w:sz="0" w:space="0" w:color="auto"/>
        <w:bottom w:val="none" w:sz="0" w:space="0" w:color="auto"/>
        <w:right w:val="none" w:sz="0" w:space="0" w:color="auto"/>
      </w:divBdr>
      <w:divsChild>
        <w:div w:id="545290657">
          <w:marLeft w:val="1080"/>
          <w:marRight w:val="0"/>
          <w:marTop w:val="100"/>
          <w:marBottom w:val="0"/>
          <w:divBdr>
            <w:top w:val="none" w:sz="0" w:space="0" w:color="auto"/>
            <w:left w:val="none" w:sz="0" w:space="0" w:color="auto"/>
            <w:bottom w:val="none" w:sz="0" w:space="0" w:color="auto"/>
            <w:right w:val="none" w:sz="0" w:space="0" w:color="auto"/>
          </w:divBdr>
        </w:div>
        <w:div w:id="1040209828">
          <w:marLeft w:val="360"/>
          <w:marRight w:val="0"/>
          <w:marTop w:val="200"/>
          <w:marBottom w:val="0"/>
          <w:divBdr>
            <w:top w:val="none" w:sz="0" w:space="0" w:color="auto"/>
            <w:left w:val="none" w:sz="0" w:space="0" w:color="auto"/>
            <w:bottom w:val="none" w:sz="0" w:space="0" w:color="auto"/>
            <w:right w:val="none" w:sz="0" w:space="0" w:color="auto"/>
          </w:divBdr>
        </w:div>
        <w:div w:id="1234437258">
          <w:marLeft w:val="1080"/>
          <w:marRight w:val="0"/>
          <w:marTop w:val="100"/>
          <w:marBottom w:val="0"/>
          <w:divBdr>
            <w:top w:val="none" w:sz="0" w:space="0" w:color="auto"/>
            <w:left w:val="none" w:sz="0" w:space="0" w:color="auto"/>
            <w:bottom w:val="none" w:sz="0" w:space="0" w:color="auto"/>
            <w:right w:val="none" w:sz="0" w:space="0" w:color="auto"/>
          </w:divBdr>
        </w:div>
      </w:divsChild>
    </w:div>
    <w:div w:id="1019235469">
      <w:bodyDiv w:val="1"/>
      <w:marLeft w:val="0"/>
      <w:marRight w:val="0"/>
      <w:marTop w:val="0"/>
      <w:marBottom w:val="0"/>
      <w:divBdr>
        <w:top w:val="none" w:sz="0" w:space="0" w:color="auto"/>
        <w:left w:val="none" w:sz="0" w:space="0" w:color="auto"/>
        <w:bottom w:val="none" w:sz="0" w:space="0" w:color="auto"/>
        <w:right w:val="none" w:sz="0" w:space="0" w:color="auto"/>
      </w:divBdr>
    </w:div>
    <w:div w:id="1524392981">
      <w:bodyDiv w:val="1"/>
      <w:marLeft w:val="0"/>
      <w:marRight w:val="0"/>
      <w:marTop w:val="0"/>
      <w:marBottom w:val="0"/>
      <w:divBdr>
        <w:top w:val="none" w:sz="0" w:space="0" w:color="auto"/>
        <w:left w:val="none" w:sz="0" w:space="0" w:color="auto"/>
        <w:bottom w:val="none" w:sz="0" w:space="0" w:color="auto"/>
        <w:right w:val="none" w:sz="0" w:space="0" w:color="auto"/>
      </w:divBdr>
      <w:divsChild>
        <w:div w:id="26307909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0051C-B456-4EB0-B6F5-5374B97EE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7570</Words>
  <Characters>43150</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Massachusetts Institute of Technology</Company>
  <LinksUpToDate>false</LinksUpToDate>
  <CharactersWithSpaces>50619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Schuetz</dc:creator>
  <cp:keywords/>
  <dc:description/>
  <cp:lastModifiedBy>Jennifer Koliba</cp:lastModifiedBy>
  <cp:revision>2</cp:revision>
  <cp:lastPrinted>2018-02-22T13:08:00Z</cp:lastPrinted>
  <dcterms:created xsi:type="dcterms:W3CDTF">2026-06-29T16:34:00Z</dcterms:created>
  <dcterms:modified xsi:type="dcterms:W3CDTF">2026-06-29T16:34:00Z</dcterms:modified>
</cp:coreProperties>
</file>